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C06" w:rsidRDefault="00090C06" w:rsidP="000856D7">
      <w:pPr>
        <w:pStyle w:val="Ttulo"/>
        <w:spacing w:before="120"/>
      </w:pPr>
      <w:r>
        <w:t>La homosexualidad en el nuevo testamento. estudio de los textos más significativos.</w:t>
      </w:r>
    </w:p>
    <w:p w:rsidR="00476A8D" w:rsidRDefault="00476A8D" w:rsidP="000856D7">
      <w:pPr>
        <w:pStyle w:val="Ttulo1"/>
        <w:keepNext w:val="0"/>
        <w:keepLines w:val="0"/>
        <w:numPr>
          <w:ilvl w:val="0"/>
          <w:numId w:val="7"/>
        </w:numPr>
        <w:spacing w:before="360" w:after="0"/>
        <w:ind w:left="714" w:hanging="357"/>
        <w:rPr>
          <w:rFonts w:asciiTheme="minorHAnsi" w:hAnsiTheme="minorHAnsi"/>
        </w:rPr>
      </w:pPr>
      <w:r>
        <w:rPr>
          <w:rFonts w:asciiTheme="minorHAnsi" w:hAnsiTheme="minorHAnsi"/>
        </w:rPr>
        <w:t>Introducción</w:t>
      </w:r>
    </w:p>
    <w:p w:rsidR="00761EBA" w:rsidRDefault="00476A8D" w:rsidP="009A3652">
      <w:r>
        <w:t>En la carta a los Obispos sobre la atención pastoral de las personas homosexuales del 1 de enero de 1986</w:t>
      </w:r>
      <w:r w:rsidR="000856D7">
        <w:rPr>
          <w:rStyle w:val="Refdenotaalpie"/>
        </w:rPr>
        <w:footnoteReference w:id="1"/>
      </w:r>
      <w:r>
        <w:t xml:space="preserve">, </w:t>
      </w:r>
      <w:r w:rsidR="00714055">
        <w:t xml:space="preserve">de </w:t>
      </w:r>
      <w:r>
        <w:t xml:space="preserve">la Congregación para la Doctrina del a </w:t>
      </w:r>
      <w:r w:rsidR="00714055">
        <w:t>F</w:t>
      </w:r>
      <w:r>
        <w:t>e (CDF) el cardenal Ratzinger manifestaba</w:t>
      </w:r>
      <w:r w:rsidR="009A3652">
        <w:t xml:space="preserve"> la necesidad de guía y aclaración sobre el “</w:t>
      </w:r>
      <w:r w:rsidR="009A3652" w:rsidRPr="009A3652">
        <w:rPr>
          <w:i/>
        </w:rPr>
        <w:t>problema de la homosexualidad y del juicio ético sobre los actos homosexuales</w:t>
      </w:r>
      <w:r w:rsidR="009A3652">
        <w:t>”</w:t>
      </w:r>
      <w:r>
        <w:t xml:space="preserve"> </w:t>
      </w:r>
      <w:r w:rsidR="009A3652">
        <w:t xml:space="preserve">ante el debate público generado sobre la homosexualidad, un mayor conocimiento de su realidad, y una mayor comprensión por parte, no solo de los pastores, sino de la sociedad. En este contexto, Ratzinger consideraba necesario rebatir la nueva </w:t>
      </w:r>
      <w:r>
        <w:t>corriente exegética “</w:t>
      </w:r>
      <w:r w:rsidRPr="00476A8D">
        <w:rPr>
          <w:i/>
        </w:rPr>
        <w:t>según la cual la Biblia o no tendría cosa alguna que decir sobre el problema de la homosexualidad, o incluso le daría en algún modo una tácita aprobación, o en fin ofrecería unas prescripciones morales tan condicionadas cultural e históricamente que ya no podrían ser aplicadas a la vida contemporánea</w:t>
      </w:r>
      <w:r>
        <w:t>”</w:t>
      </w:r>
      <w:r w:rsidR="009A3652">
        <w:t>, por lo que era necesario profundizar sobre estas cuestiones, y hacer una adecuada y actualizada exegesis bíblica al respecto del tema de la homosexualidad</w:t>
      </w:r>
      <w:r w:rsidR="00E9091A">
        <w:t>.</w:t>
      </w:r>
      <w:r w:rsidR="009A3652">
        <w:t xml:space="preserve"> Ratzinger proponía basarse en la enseñanza del concilio Vaticano II, que en </w:t>
      </w:r>
      <w:r w:rsidR="009A3652">
        <w:rPr>
          <w:i/>
        </w:rPr>
        <w:t xml:space="preserve">Dei Verbum </w:t>
      </w:r>
      <w:r w:rsidR="009A3652">
        <w:t>n.10 señalaba “</w:t>
      </w:r>
      <w:r w:rsidR="009A3652">
        <w:rPr>
          <w:i/>
        </w:rPr>
        <w:t>e</w:t>
      </w:r>
      <w:r w:rsidR="009A3652" w:rsidRPr="009A3652">
        <w:rPr>
          <w:i/>
        </w:rPr>
        <w:t>s evidente, por tanto, que la Sagrada Tradición, la Sagrada Escritura y el Magisterio de la Iglesia, según el designio sapientísimo de Dios, están entrelazados y unidos de tal forma que no tienen consistencia el uno sin los otros, y que juntos, cada uno a su modo, bajo la acción del Espíritu Santo, contribuyen eficazmente a la salvación de las almas</w:t>
      </w:r>
      <w:r w:rsidR="009A3652">
        <w:t xml:space="preserve">”. Como veremos a lo largo de este trabajo, resulta esencial el estudio de este asunto desde una perspectiva </w:t>
      </w:r>
      <w:r w:rsidR="009A3652">
        <w:rPr>
          <w:i/>
        </w:rPr>
        <w:t>global</w:t>
      </w:r>
      <w:r w:rsidR="009A3652">
        <w:t>, cotejando y relacionando qué dicen sobre el particular cada una de las tres fuentes del Magisterio.</w:t>
      </w:r>
    </w:p>
    <w:p w:rsidR="009A3652" w:rsidRPr="007E20B1" w:rsidRDefault="007344F2" w:rsidP="007E20B1">
      <w:pPr>
        <w:rPr>
          <w:rFonts w:eastAsia="Times New Roman"/>
          <w:lang w:val="es-ES" w:eastAsia="es-ES_tradnl"/>
        </w:rPr>
      </w:pPr>
      <w:r w:rsidRPr="007E20B1">
        <w:rPr>
          <w:rFonts w:eastAsia="Times New Roman"/>
          <w:lang w:val="es-ES" w:eastAsia="es-ES_tradnl"/>
        </w:rPr>
        <w:t>Con esta idea en mente, al trabajar con las fuentes propuestas en la bibliografía recomendada para el seminario comprobé que estos libros</w:t>
      </w:r>
      <w:r w:rsidRPr="007E20B1">
        <w:rPr>
          <w:rFonts w:eastAsia="Times New Roman" w:cs="Arial"/>
          <w:lang w:val="es-ES" w:eastAsia="es-ES_tradnl"/>
        </w:rPr>
        <w:t xml:space="preserve"> no aportaban pruebas </w:t>
      </w:r>
      <w:r w:rsidRPr="007E20B1">
        <w:rPr>
          <w:rFonts w:eastAsia="Times New Roman" w:cs="Arial"/>
          <w:i/>
          <w:iCs/>
          <w:lang w:val="es-ES" w:eastAsia="es-ES_tradnl"/>
        </w:rPr>
        <w:t>fuera de toda duda</w:t>
      </w:r>
      <w:r w:rsidRPr="007E20B1">
        <w:rPr>
          <w:rFonts w:eastAsia="Times New Roman" w:cs="Arial"/>
          <w:lang w:val="es-ES" w:eastAsia="es-ES_tradnl"/>
        </w:rPr>
        <w:t xml:space="preserve"> sobre el tema tratado, aunque sí </w:t>
      </w:r>
      <w:r w:rsidR="007E20B1" w:rsidRPr="007E20B1">
        <w:rPr>
          <w:rFonts w:eastAsia="Times New Roman" w:cs="Arial"/>
          <w:lang w:val="es-ES" w:eastAsia="es-ES_tradnl"/>
        </w:rPr>
        <w:t>que,</w:t>
      </w:r>
      <w:r w:rsidRPr="007E20B1">
        <w:rPr>
          <w:rFonts w:eastAsia="Times New Roman" w:cs="Arial"/>
          <w:lang w:val="es-ES" w:eastAsia="es-ES_tradnl"/>
        </w:rPr>
        <w:t xml:space="preserve"> en sus conclusiones, empleando las tres fuentes del Magisterio, daban una interpretación válida y fundamentada a sus conclusiones, que coincidían con lo que se puede leer en los documentos de la CDF, o en el Catecismo de la Iglesia Católica (CIC). Ante esta situación</w:t>
      </w:r>
      <w:r w:rsidRPr="007E20B1">
        <w:rPr>
          <w:rFonts w:eastAsia="Times New Roman"/>
          <w:lang w:val="es-ES" w:eastAsia="es-ES_tradnl"/>
        </w:rPr>
        <w:t>, decidí también hacer una consulta en google con objeto de ver qué otras posturas o interpretaciones había de los textos del Nuevo Testamento (NT). Para ello realicé, tanto en castellano como en ingles la búsqueda “</w:t>
      </w:r>
      <w:proofErr w:type="spellStart"/>
      <w:r w:rsidRPr="00E9091A">
        <w:rPr>
          <w:rFonts w:eastAsia="Times New Roman"/>
          <w:i/>
          <w:lang w:val="es-ES" w:eastAsia="es-ES_tradnl"/>
        </w:rPr>
        <w:t>homosexualidad+nuevo+testamento</w:t>
      </w:r>
      <w:proofErr w:type="spellEnd"/>
      <w:r w:rsidRPr="007E20B1">
        <w:rPr>
          <w:rFonts w:eastAsia="Times New Roman"/>
          <w:lang w:val="es-ES" w:eastAsia="es-ES_tradnl"/>
        </w:rPr>
        <w:t xml:space="preserve">” y de los resultados, escogí los que primero aparecían y que tuvieran cierto desarrollo y trabajo sistemático. </w:t>
      </w:r>
      <w:r w:rsidRPr="007E20B1">
        <w:rPr>
          <w:rFonts w:eastAsia="Times New Roman" w:cs="Arial"/>
          <w:lang w:val="es-ES" w:eastAsia="es-ES_tradnl"/>
        </w:rPr>
        <w:t xml:space="preserve">Lo que encontré es qué toda la bibliografía </w:t>
      </w:r>
      <w:r w:rsidR="00E9091A">
        <w:rPr>
          <w:rFonts w:eastAsia="Times New Roman" w:cs="Arial"/>
          <w:lang w:val="es-ES" w:eastAsia="es-ES_tradnl"/>
        </w:rPr>
        <w:t>consultada</w:t>
      </w:r>
      <w:r w:rsidRPr="007E20B1">
        <w:rPr>
          <w:rFonts w:eastAsia="Times New Roman" w:cs="Arial"/>
          <w:lang w:val="es-ES" w:eastAsia="es-ES_tradnl"/>
        </w:rPr>
        <w:t xml:space="preserve">, sea cual sea su orientación o su forma de pensar respecto de cómo ha de abordar el tema de la homosexualidad </w:t>
      </w:r>
      <w:r w:rsidR="00E9091A">
        <w:rPr>
          <w:rFonts w:eastAsia="Times New Roman" w:cs="Arial"/>
          <w:lang w:val="es-ES" w:eastAsia="es-ES_tradnl"/>
        </w:rPr>
        <w:t>en el NT</w:t>
      </w:r>
      <w:r w:rsidRPr="007E20B1">
        <w:rPr>
          <w:rFonts w:eastAsia="Times New Roman" w:cs="Arial"/>
          <w:lang w:val="es-ES" w:eastAsia="es-ES_tradnl"/>
        </w:rPr>
        <w:t>, estudia exactamente los mismos textos, pone el acento en las mismas palabras clave, e interpreta el contexto histórico y cultural del mismo modo; sin embargo, las conclusiones a las que llegan son diametralmente opuestas.</w:t>
      </w:r>
      <w:r w:rsidR="00E9091A">
        <w:rPr>
          <w:rFonts w:eastAsia="Times New Roman" w:cs="Arial"/>
          <w:lang w:val="es-ES" w:eastAsia="es-ES_tradnl"/>
        </w:rPr>
        <w:t xml:space="preserve"> En las conclusiones finales procuraré dar una explicación de porqué ocurre esto.</w:t>
      </w:r>
    </w:p>
    <w:p w:rsidR="00714055" w:rsidRPr="00714055" w:rsidRDefault="00714055" w:rsidP="00714055">
      <w:pPr>
        <w:pStyle w:val="Ttulo1"/>
        <w:keepNext w:val="0"/>
        <w:keepLines w:val="0"/>
        <w:numPr>
          <w:ilvl w:val="0"/>
          <w:numId w:val="7"/>
        </w:numPr>
        <w:spacing w:before="600" w:after="0"/>
        <w:rPr>
          <w:rFonts w:asciiTheme="minorHAnsi" w:hAnsiTheme="minorHAnsi"/>
        </w:rPr>
      </w:pPr>
      <w:r w:rsidRPr="00314376">
        <w:rPr>
          <w:rFonts w:asciiTheme="minorHAnsi" w:hAnsiTheme="minorHAnsi"/>
        </w:rPr>
        <w:t xml:space="preserve">Contexto cultural sobre la homosexualidad en el sigo i </w:t>
      </w:r>
      <w:proofErr w:type="spellStart"/>
      <w:r w:rsidRPr="00314376">
        <w:rPr>
          <w:rFonts w:asciiTheme="minorHAnsi" w:hAnsiTheme="minorHAnsi"/>
        </w:rPr>
        <w:t>d.c.</w:t>
      </w:r>
      <w:proofErr w:type="spellEnd"/>
    </w:p>
    <w:p w:rsidR="009C4A41" w:rsidRPr="007369D5" w:rsidRDefault="00235B6E" w:rsidP="007369D5">
      <w:pPr>
        <w:rPr>
          <w:color w:val="000000" w:themeColor="text1"/>
        </w:rPr>
      </w:pPr>
      <w:r>
        <w:rPr>
          <w:rFonts w:eastAsia="Times New Roman"/>
          <w:color w:val="000000" w:themeColor="text1"/>
          <w:lang w:val="es-ES" w:eastAsia="es-ES_tradnl"/>
        </w:rPr>
        <w:t xml:space="preserve">Los </w:t>
      </w:r>
      <w:r w:rsidR="009C4A41" w:rsidRPr="00314376">
        <w:rPr>
          <w:rFonts w:eastAsia="Times New Roman"/>
          <w:color w:val="000000" w:themeColor="text1"/>
          <w:lang w:val="es-ES" w:eastAsia="es-ES_tradnl"/>
        </w:rPr>
        <w:t>griegos y r</w:t>
      </w:r>
      <w:r w:rsidR="00B752FF">
        <w:rPr>
          <w:rFonts w:eastAsia="Times New Roman"/>
          <w:color w:val="000000" w:themeColor="text1"/>
          <w:lang w:val="es-ES" w:eastAsia="es-ES_tradnl"/>
        </w:rPr>
        <w:t>omanos</w:t>
      </w:r>
      <w:r w:rsidR="009C4A41">
        <w:rPr>
          <w:rFonts w:eastAsia="Times New Roman"/>
          <w:color w:val="000000" w:themeColor="text1"/>
          <w:lang w:val="es-ES" w:eastAsia="es-ES_tradnl"/>
        </w:rPr>
        <w:t xml:space="preserve"> </w:t>
      </w:r>
      <w:r w:rsidR="009C4A41" w:rsidRPr="00314376">
        <w:rPr>
          <w:rFonts w:eastAsia="Times New Roman"/>
          <w:color w:val="000000" w:themeColor="text1"/>
          <w:lang w:val="es-ES" w:eastAsia="es-ES_tradnl"/>
        </w:rPr>
        <w:t xml:space="preserve">entendían las relaciones sexuales en un contexto de </w:t>
      </w:r>
      <w:r w:rsidR="009C4A41" w:rsidRPr="00314376">
        <w:rPr>
          <w:rFonts w:eastAsia="Times New Roman"/>
          <w:i/>
          <w:color w:val="000000" w:themeColor="text1"/>
          <w:lang w:val="es-ES" w:eastAsia="es-ES_tradnl"/>
        </w:rPr>
        <w:t>dominante-dominado</w:t>
      </w:r>
      <w:r w:rsidR="009C4A41" w:rsidRPr="00314376">
        <w:rPr>
          <w:rFonts w:eastAsia="Times New Roman"/>
          <w:color w:val="000000" w:themeColor="text1"/>
          <w:lang w:val="es-ES" w:eastAsia="es-ES_tradnl"/>
        </w:rPr>
        <w:t>, es decir, el hombre había de tener un papel activo –dominante, puesto que es el que penetra a la mujer durante el coito–, mientras que la mujer, en tanto que penetrada, debía tenerlo pasivo –dominada–. Así</w:t>
      </w:r>
      <w:r>
        <w:rPr>
          <w:rFonts w:eastAsia="Times New Roman"/>
          <w:color w:val="000000" w:themeColor="text1"/>
          <w:lang w:val="es-ES" w:eastAsia="es-ES_tradnl"/>
        </w:rPr>
        <w:t xml:space="preserve"> </w:t>
      </w:r>
      <w:r w:rsidR="009C4A41" w:rsidRPr="00314376">
        <w:rPr>
          <w:rFonts w:eastAsia="Times New Roman"/>
          <w:color w:val="000000" w:themeColor="text1"/>
          <w:lang w:val="es-ES" w:eastAsia="es-ES_tradnl"/>
        </w:rPr>
        <w:t xml:space="preserve">se consideraba que una relación era </w:t>
      </w:r>
      <w:r w:rsidR="009C4A41" w:rsidRPr="00314376">
        <w:rPr>
          <w:rFonts w:eastAsia="Times New Roman"/>
          <w:i/>
          <w:color w:val="000000" w:themeColor="text1"/>
          <w:lang w:val="es-ES" w:eastAsia="es-ES_tradnl"/>
        </w:rPr>
        <w:t>natural</w:t>
      </w:r>
      <w:r w:rsidR="009C4A41" w:rsidRPr="00314376">
        <w:rPr>
          <w:rFonts w:eastAsia="Times New Roman"/>
          <w:color w:val="000000" w:themeColor="text1"/>
          <w:lang w:val="es-ES" w:eastAsia="es-ES_tradnl"/>
        </w:rPr>
        <w:t xml:space="preserve"> si mantenía este estatus reconocido socialmente (hombre dominante, mujer dominada), mientas que se denominaban </w:t>
      </w:r>
      <w:r w:rsidR="009C4A41" w:rsidRPr="00314376">
        <w:rPr>
          <w:rFonts w:eastAsia="Times New Roman"/>
          <w:i/>
          <w:color w:val="000000" w:themeColor="text1"/>
          <w:lang w:val="es-ES" w:eastAsia="es-ES_tradnl"/>
        </w:rPr>
        <w:t>contra</w:t>
      </w:r>
      <w:r>
        <w:rPr>
          <w:rFonts w:eastAsia="Times New Roman"/>
          <w:i/>
          <w:color w:val="000000" w:themeColor="text1"/>
          <w:lang w:val="es-ES" w:eastAsia="es-ES_tradnl"/>
        </w:rPr>
        <w:t>-</w:t>
      </w:r>
      <w:r w:rsidR="009C4A41" w:rsidRPr="00314376">
        <w:rPr>
          <w:rFonts w:eastAsia="Times New Roman"/>
          <w:i/>
          <w:color w:val="000000" w:themeColor="text1"/>
          <w:lang w:val="es-ES" w:eastAsia="es-ES_tradnl"/>
        </w:rPr>
        <w:t>natura</w:t>
      </w:r>
      <w:r w:rsidR="009C4A41" w:rsidRPr="00314376">
        <w:rPr>
          <w:rFonts w:eastAsia="Times New Roman"/>
          <w:color w:val="000000" w:themeColor="text1"/>
          <w:lang w:val="es-ES" w:eastAsia="es-ES_tradnl"/>
        </w:rPr>
        <w:t xml:space="preserve"> aquellas acciones que fuera en contra de lo establecido (mujer dominante u hombre pasivo)</w:t>
      </w:r>
      <w:r w:rsidR="00912520">
        <w:rPr>
          <w:rFonts w:eastAsia="Times New Roman"/>
          <w:color w:val="000000" w:themeColor="text1"/>
          <w:lang w:val="es-ES" w:eastAsia="es-ES_tradnl"/>
        </w:rPr>
        <w:t>. De este modo,</w:t>
      </w:r>
      <w:r w:rsidR="009C4A41" w:rsidRPr="00314376">
        <w:rPr>
          <w:rFonts w:eastAsia="Times New Roman"/>
          <w:color w:val="000000" w:themeColor="text1"/>
          <w:lang w:val="es-ES" w:eastAsia="es-ES_tradnl"/>
        </w:rPr>
        <w:t xml:space="preserve"> </w:t>
      </w:r>
      <w:r w:rsidR="009C4A41" w:rsidRPr="00314376">
        <w:rPr>
          <w:color w:val="000000" w:themeColor="text1"/>
        </w:rPr>
        <w:t xml:space="preserve">las </w:t>
      </w:r>
      <w:r w:rsidR="009C4A41" w:rsidRPr="00314376">
        <w:rPr>
          <w:color w:val="000000" w:themeColor="text1"/>
          <w:spacing w:val="-3"/>
          <w:kern w:val="1"/>
        </w:rPr>
        <w:t xml:space="preserve">relaciones sexuales </w:t>
      </w:r>
      <w:r w:rsidR="009C4A41" w:rsidRPr="00314376">
        <w:rPr>
          <w:color w:val="000000" w:themeColor="text1"/>
        </w:rPr>
        <w:t xml:space="preserve">entre personas del mismo sexo eran toleradas en los hombres adultos mientras estos mantuvieran el papel </w:t>
      </w:r>
      <w:r w:rsidR="009C4A41" w:rsidRPr="00314376">
        <w:rPr>
          <w:i/>
          <w:color w:val="000000" w:themeColor="text1"/>
        </w:rPr>
        <w:t>dominante</w:t>
      </w:r>
      <w:r w:rsidR="009C4A41" w:rsidRPr="00314376">
        <w:rPr>
          <w:color w:val="000000" w:themeColor="text1"/>
        </w:rPr>
        <w:t xml:space="preserve"> y, </w:t>
      </w:r>
      <w:proofErr w:type="gramStart"/>
      <w:r w:rsidR="009C4A41" w:rsidRPr="00314376">
        <w:rPr>
          <w:color w:val="000000" w:themeColor="text1"/>
        </w:rPr>
        <w:t>y</w:t>
      </w:r>
      <w:proofErr w:type="gramEnd"/>
      <w:r w:rsidR="009C4A41" w:rsidRPr="00314376">
        <w:rPr>
          <w:color w:val="000000" w:themeColor="text1"/>
        </w:rPr>
        <w:t xml:space="preserve"> por lo tanto, fueran los que penetraran a la otra persona</w:t>
      </w:r>
      <w:r w:rsidR="00912520">
        <w:rPr>
          <w:color w:val="000000" w:themeColor="text1"/>
        </w:rPr>
        <w:t>. A</w:t>
      </w:r>
      <w:r w:rsidR="009C4A41" w:rsidRPr="00314376">
        <w:rPr>
          <w:color w:val="000000" w:themeColor="text1"/>
        </w:rPr>
        <w:t xml:space="preserve">sí podían tener </w:t>
      </w:r>
      <w:r w:rsidR="009C4A41" w:rsidRPr="00314376">
        <w:rPr>
          <w:color w:val="000000" w:themeColor="text1"/>
          <w:spacing w:val="-3"/>
          <w:kern w:val="1"/>
        </w:rPr>
        <w:t xml:space="preserve">relaciones </w:t>
      </w:r>
      <w:r w:rsidR="009C4A41" w:rsidRPr="00314376">
        <w:rPr>
          <w:color w:val="000000" w:themeColor="text1"/>
        </w:rPr>
        <w:t xml:space="preserve">con otros hombres, </w:t>
      </w:r>
      <w:r w:rsidR="009C4A41" w:rsidRPr="00314376">
        <w:rPr>
          <w:color w:val="000000" w:themeColor="text1"/>
          <w:spacing w:val="-3"/>
          <w:kern w:val="1"/>
        </w:rPr>
        <w:lastRenderedPageBreak/>
        <w:t xml:space="preserve">especialmente </w:t>
      </w:r>
      <w:r w:rsidR="009C4A41" w:rsidRPr="00314376">
        <w:rPr>
          <w:color w:val="000000" w:themeColor="text1"/>
        </w:rPr>
        <w:t xml:space="preserve">con </w:t>
      </w:r>
      <w:r w:rsidR="009C4A41" w:rsidRPr="00314376">
        <w:rPr>
          <w:color w:val="000000" w:themeColor="text1"/>
          <w:spacing w:val="-2"/>
          <w:kern w:val="1"/>
        </w:rPr>
        <w:t>prostitutos</w:t>
      </w:r>
      <w:r w:rsidR="00912520">
        <w:rPr>
          <w:color w:val="000000" w:themeColor="text1"/>
          <w:spacing w:val="-2"/>
          <w:kern w:val="1"/>
        </w:rPr>
        <w:t xml:space="preserve"> o</w:t>
      </w:r>
      <w:r w:rsidR="009C4A41" w:rsidRPr="00314376">
        <w:rPr>
          <w:color w:val="000000" w:themeColor="text1"/>
        </w:rPr>
        <w:t xml:space="preserve"> esclavos que actuaban en el acto sexual de forma </w:t>
      </w:r>
      <w:r w:rsidR="009C4A41" w:rsidRPr="00B752FF">
        <w:rPr>
          <w:color w:val="000000" w:themeColor="text1"/>
          <w:spacing w:val="35"/>
          <w:kern w:val="1"/>
        </w:rPr>
        <w:t>pasiva</w:t>
      </w:r>
      <w:r w:rsidR="009C4A41" w:rsidRPr="00314376">
        <w:rPr>
          <w:color w:val="000000" w:themeColor="text1"/>
          <w:spacing w:val="35"/>
          <w:kern w:val="1"/>
        </w:rPr>
        <w:t xml:space="preserve">. </w:t>
      </w:r>
      <w:r w:rsidR="009C4A41" w:rsidRPr="009C4A41">
        <w:rPr>
          <w:color w:val="000000" w:themeColor="text1"/>
          <w:spacing w:val="-4"/>
          <w:kern w:val="1"/>
        </w:rPr>
        <w:t>Por su parte, estos hombres que actuaban de modo pasivo eran</w:t>
      </w:r>
      <w:r w:rsidR="009C4A41" w:rsidRPr="00314376">
        <w:rPr>
          <w:color w:val="000000" w:themeColor="text1"/>
        </w:rPr>
        <w:t xml:space="preserve"> </w:t>
      </w:r>
      <w:r w:rsidR="009C4A41" w:rsidRPr="00314376">
        <w:rPr>
          <w:color w:val="000000" w:themeColor="text1"/>
          <w:spacing w:val="-4"/>
          <w:kern w:val="1"/>
        </w:rPr>
        <w:t xml:space="preserve">considerados </w:t>
      </w:r>
      <w:r w:rsidR="009C4A41" w:rsidRPr="00314376">
        <w:rPr>
          <w:color w:val="000000" w:themeColor="text1"/>
        </w:rPr>
        <w:t xml:space="preserve">con desprecio. Este desprecio había llevado a la </w:t>
      </w:r>
      <w:r w:rsidR="009C4A41" w:rsidRPr="00314376">
        <w:rPr>
          <w:rFonts w:eastAsia="Times New Roman"/>
          <w:color w:val="000000" w:themeColor="text1"/>
          <w:lang w:val="es-ES" w:eastAsia="es-ES_tradnl"/>
        </w:rPr>
        <w:t>costumbre realizar actos homosexuales con los vencidos en el combate, a manera de burla y escarnio</w:t>
      </w:r>
      <w:r w:rsidR="009C4A41" w:rsidRPr="00314376">
        <w:rPr>
          <w:color w:val="000000" w:themeColor="text1"/>
        </w:rPr>
        <w:t xml:space="preserve">. Además, en el mundo griego se aceptaba a una </w:t>
      </w:r>
      <w:r w:rsidR="009C4A41" w:rsidRPr="00314376">
        <w:rPr>
          <w:color w:val="000000" w:themeColor="text1"/>
          <w:spacing w:val="-4"/>
          <w:kern w:val="1"/>
        </w:rPr>
        <w:t xml:space="preserve">relación </w:t>
      </w:r>
      <w:r w:rsidR="009C4A41" w:rsidRPr="00314376">
        <w:rPr>
          <w:color w:val="000000" w:themeColor="text1"/>
        </w:rPr>
        <w:t xml:space="preserve">de estrecha intimidad entre un adulto y un adolescente, con </w:t>
      </w:r>
      <w:r w:rsidR="009C4A41" w:rsidRPr="00314376">
        <w:rPr>
          <w:color w:val="000000" w:themeColor="text1"/>
          <w:spacing w:val="-2"/>
          <w:kern w:val="1"/>
        </w:rPr>
        <w:t xml:space="preserve">vistas </w:t>
      </w:r>
      <w:r w:rsidR="009C4A41" w:rsidRPr="00314376">
        <w:rPr>
          <w:color w:val="000000" w:themeColor="text1"/>
        </w:rPr>
        <w:t xml:space="preserve">a su </w:t>
      </w:r>
      <w:r w:rsidR="009C4A41" w:rsidRPr="00314376">
        <w:rPr>
          <w:color w:val="000000" w:themeColor="text1"/>
          <w:spacing w:val="-3"/>
          <w:kern w:val="1"/>
        </w:rPr>
        <w:t xml:space="preserve">iniciación </w:t>
      </w:r>
      <w:r w:rsidR="009C4A41" w:rsidRPr="00314376">
        <w:rPr>
          <w:color w:val="000000" w:themeColor="text1"/>
        </w:rPr>
        <w:t xml:space="preserve">en la vida social, y que, </w:t>
      </w:r>
      <w:r w:rsidR="009C4A41" w:rsidRPr="00314376">
        <w:rPr>
          <w:color w:val="000000" w:themeColor="text1"/>
          <w:spacing w:val="-3"/>
          <w:kern w:val="1"/>
        </w:rPr>
        <w:t xml:space="preserve">dentro de </w:t>
      </w:r>
      <w:r w:rsidR="009C4A41" w:rsidRPr="00314376">
        <w:rPr>
          <w:color w:val="000000" w:themeColor="text1"/>
        </w:rPr>
        <w:t xml:space="preserve">un código de comportamiento aceptado por la costumbre, tampoco excluía la </w:t>
      </w:r>
      <w:r w:rsidR="009C4A41" w:rsidRPr="00314376">
        <w:rPr>
          <w:color w:val="000000" w:themeColor="text1"/>
          <w:spacing w:val="-3"/>
          <w:kern w:val="1"/>
        </w:rPr>
        <w:t xml:space="preserve">interacción </w:t>
      </w:r>
      <w:r w:rsidR="009C4A41" w:rsidRPr="00314376">
        <w:rPr>
          <w:color w:val="000000" w:themeColor="text1"/>
        </w:rPr>
        <w:t>genital</w:t>
      </w:r>
      <w:r w:rsidR="009C4A41" w:rsidRPr="00314376">
        <w:rPr>
          <w:color w:val="000000" w:themeColor="text1"/>
          <w:spacing w:val="-3"/>
          <w:kern w:val="1"/>
        </w:rPr>
        <w:t>.</w:t>
      </w:r>
      <w:r w:rsidR="009C4A41" w:rsidRPr="00314376">
        <w:rPr>
          <w:color w:val="000000" w:themeColor="text1"/>
        </w:rPr>
        <w:t xml:space="preserve"> Sin embargo, en Roma, lo que consideraban como </w:t>
      </w:r>
      <w:r w:rsidR="009C4A41" w:rsidRPr="00314376">
        <w:rPr>
          <w:color w:val="000000" w:themeColor="text1"/>
          <w:spacing w:val="-3"/>
          <w:kern w:val="1"/>
        </w:rPr>
        <w:t xml:space="preserve">pederastia </w:t>
      </w:r>
      <w:r w:rsidR="009C4A41" w:rsidRPr="00314376">
        <w:rPr>
          <w:color w:val="000000" w:themeColor="text1"/>
        </w:rPr>
        <w:t xml:space="preserve">griega era vista con hostilidad pues la interpretaban como una costumbre ajena </w:t>
      </w:r>
      <w:r w:rsidR="009C4A41" w:rsidRPr="00314376">
        <w:rPr>
          <w:i/>
          <w:iCs/>
          <w:color w:val="000000" w:themeColor="text1"/>
        </w:rPr>
        <w:t xml:space="preserve">al </w:t>
      </w:r>
      <w:r w:rsidR="009C4A41" w:rsidRPr="00A5589C">
        <w:rPr>
          <w:i/>
          <w:iCs/>
          <w:color w:val="000000" w:themeColor="text1"/>
          <w:spacing w:val="-3"/>
          <w:kern w:val="1"/>
        </w:rPr>
        <w:t xml:space="preserve">ethos </w:t>
      </w:r>
      <w:r w:rsidR="009C4A41" w:rsidRPr="00A5589C">
        <w:rPr>
          <w:color w:val="000000" w:themeColor="text1"/>
        </w:rPr>
        <w:t>romano</w:t>
      </w:r>
      <w:r w:rsidR="00A5589C">
        <w:rPr>
          <w:rStyle w:val="Refdenotaalpie"/>
          <w:color w:val="000000" w:themeColor="text1"/>
        </w:rPr>
        <w:footnoteReference w:id="2"/>
      </w:r>
      <w:r w:rsidR="009C4A41" w:rsidRPr="00314376">
        <w:rPr>
          <w:i/>
          <w:iCs/>
          <w:color w:val="000000" w:themeColor="text1"/>
        </w:rPr>
        <w:t xml:space="preserve">. </w:t>
      </w:r>
    </w:p>
    <w:p w:rsidR="009839D4" w:rsidRDefault="0058307C" w:rsidP="00235B6E">
      <w:pPr>
        <w:rPr>
          <w:rFonts w:eastAsia="Times New Roman"/>
          <w:lang w:val="es-ES" w:eastAsia="es-ES_tradnl"/>
        </w:rPr>
      </w:pPr>
      <w:r w:rsidRPr="009C4A41">
        <w:rPr>
          <w:rFonts w:eastAsia="Times New Roman"/>
          <w:lang w:val="es-ES" w:eastAsia="es-ES_tradnl"/>
        </w:rPr>
        <w:t>Todo esto era ajeno al mundo judío</w:t>
      </w:r>
      <w:r w:rsidR="00235B6E">
        <w:rPr>
          <w:rFonts w:eastAsia="Times New Roman"/>
          <w:lang w:val="es-ES" w:eastAsia="es-ES_tradnl"/>
        </w:rPr>
        <w:t xml:space="preserve"> </w:t>
      </w:r>
      <w:r w:rsidR="009839D4">
        <w:rPr>
          <w:rFonts w:eastAsia="Times New Roman"/>
          <w:lang w:val="es-ES" w:eastAsia="es-ES_tradnl"/>
        </w:rPr>
        <w:t>donde</w:t>
      </w:r>
      <w:r w:rsidR="00235B6E">
        <w:rPr>
          <w:rFonts w:eastAsia="Times New Roman"/>
          <w:lang w:val="es-ES" w:eastAsia="es-ES_tradnl"/>
        </w:rPr>
        <w:t xml:space="preserve"> también se interpretaba la </w:t>
      </w:r>
      <w:r w:rsidR="00235B6E">
        <w:rPr>
          <w:rFonts w:eastAsia="Times New Roman"/>
          <w:i/>
          <w:lang w:val="es-ES" w:eastAsia="es-ES_tradnl"/>
        </w:rPr>
        <w:t>naturaleza</w:t>
      </w:r>
      <w:r w:rsidR="00235B6E">
        <w:rPr>
          <w:rFonts w:eastAsia="Times New Roman"/>
          <w:lang w:val="es-ES" w:eastAsia="es-ES_tradnl"/>
        </w:rPr>
        <w:t xml:space="preserve"> del acto sexual de igual manera</w:t>
      </w:r>
      <w:r w:rsidR="007369D5">
        <w:rPr>
          <w:rFonts w:eastAsia="Times New Roman"/>
          <w:lang w:val="es-ES" w:eastAsia="es-ES_tradnl"/>
        </w:rPr>
        <w:t xml:space="preserve"> que griegos y romanos, </w:t>
      </w:r>
      <w:r w:rsidR="009839D4">
        <w:rPr>
          <w:rFonts w:eastAsia="Times New Roman"/>
          <w:lang w:val="es-ES" w:eastAsia="es-ES_tradnl"/>
        </w:rPr>
        <w:t xml:space="preserve">aunque </w:t>
      </w:r>
      <w:r w:rsidR="007369D5">
        <w:rPr>
          <w:rFonts w:eastAsia="Times New Roman"/>
          <w:lang w:val="es-ES" w:eastAsia="es-ES_tradnl"/>
        </w:rPr>
        <w:t>consideraban los actos homosexuales contrarios a la Alianza</w:t>
      </w:r>
      <w:r w:rsidR="00153EDC">
        <w:rPr>
          <w:rFonts w:eastAsia="Times New Roman"/>
          <w:lang w:val="es-ES" w:eastAsia="es-ES_tradnl"/>
        </w:rPr>
        <w:t xml:space="preserve"> p</w:t>
      </w:r>
      <w:r w:rsidR="00153EDC" w:rsidRPr="00314376">
        <w:rPr>
          <w:rFonts w:eastAsia="Times New Roman"/>
          <w:lang w:val="es-ES" w:eastAsia="es-ES_tradnl"/>
        </w:rPr>
        <w:t>uesto</w:t>
      </w:r>
      <w:r w:rsidR="009839D4">
        <w:rPr>
          <w:rFonts w:eastAsia="Times New Roman"/>
          <w:lang w:val="es-ES" w:eastAsia="es-ES_tradnl"/>
        </w:rPr>
        <w:t xml:space="preserve"> que </w:t>
      </w:r>
      <w:r w:rsidR="009839D4">
        <w:rPr>
          <w:rFonts w:eastAsia="Times New Roman"/>
          <w:lang w:val="es-ES" w:eastAsia="es-ES_tradnl"/>
        </w:rPr>
        <w:t xml:space="preserve">en </w:t>
      </w:r>
      <w:r w:rsidR="009839D4" w:rsidRPr="00314376">
        <w:rPr>
          <w:rFonts w:eastAsia="Times New Roman"/>
          <w:lang w:val="es-ES" w:eastAsia="es-ES_tradnl"/>
        </w:rPr>
        <w:t>Gen 1,28</w:t>
      </w:r>
      <w:r w:rsidR="009839D4">
        <w:rPr>
          <w:rFonts w:eastAsia="Times New Roman"/>
          <w:lang w:val="es-ES" w:eastAsia="es-ES_tradnl"/>
        </w:rPr>
        <w:t xml:space="preserve"> Dios </w:t>
      </w:r>
      <w:r w:rsidR="009839D4">
        <w:rPr>
          <w:rFonts w:eastAsia="Times New Roman"/>
          <w:lang w:val="es-ES" w:eastAsia="es-ES_tradnl"/>
        </w:rPr>
        <w:t>daba</w:t>
      </w:r>
      <w:r w:rsidR="009839D4">
        <w:rPr>
          <w:rFonts w:eastAsia="Times New Roman"/>
          <w:lang w:val="es-ES" w:eastAsia="es-ES_tradnl"/>
        </w:rPr>
        <w:t xml:space="preserve"> a </w:t>
      </w:r>
      <w:r w:rsidR="009839D4" w:rsidRPr="00314376">
        <w:rPr>
          <w:rFonts w:eastAsia="Times New Roman"/>
          <w:lang w:val="es-ES" w:eastAsia="es-ES_tradnl"/>
        </w:rPr>
        <w:t xml:space="preserve">Adán y Eva </w:t>
      </w:r>
      <w:r w:rsidR="009839D4">
        <w:rPr>
          <w:rFonts w:eastAsia="Times New Roman"/>
          <w:lang w:val="es-ES" w:eastAsia="es-ES_tradnl"/>
        </w:rPr>
        <w:t>el mandato de llenar la Tierra y gobernarla:</w:t>
      </w:r>
      <w:r w:rsidR="009839D4" w:rsidRPr="00314376">
        <w:rPr>
          <w:rFonts w:eastAsia="Times New Roman"/>
          <w:lang w:val="es-ES" w:eastAsia="es-ES_tradnl"/>
        </w:rPr>
        <w:t xml:space="preserve"> “</w:t>
      </w:r>
      <w:r w:rsidR="009839D4" w:rsidRPr="00314376">
        <w:rPr>
          <w:rFonts w:eastAsia="Times New Roman"/>
          <w:i/>
          <w:lang w:val="es-ES" w:eastAsia="es-ES_tradnl"/>
        </w:rPr>
        <w:t>Y los bendijo Dios, y les dijo: —Creced, multiplicaos, llenad la tierra y sometedla; dominad sobre los peces del mar, las aves del cielo y todos los animales que reptan por la tierra</w:t>
      </w:r>
      <w:r w:rsidR="009839D4" w:rsidRPr="00314376">
        <w:rPr>
          <w:rFonts w:eastAsia="Times New Roman"/>
          <w:lang w:val="es-ES" w:eastAsia="es-ES_tradnl"/>
        </w:rPr>
        <w:t>.”</w:t>
      </w:r>
      <w:r w:rsidR="00153EDC" w:rsidRPr="00314376">
        <w:rPr>
          <w:rFonts w:eastAsia="Times New Roman"/>
          <w:lang w:val="es-ES" w:eastAsia="es-ES_tradnl"/>
        </w:rPr>
        <w:t xml:space="preserve"> por lo que</w:t>
      </w:r>
      <w:r w:rsidR="009839D4">
        <w:rPr>
          <w:rFonts w:eastAsia="Times New Roman"/>
          <w:lang w:val="es-ES" w:eastAsia="es-ES_tradnl"/>
        </w:rPr>
        <w:t xml:space="preserve"> consideraban que</w:t>
      </w:r>
      <w:r w:rsidR="00153EDC" w:rsidRPr="00314376">
        <w:rPr>
          <w:rFonts w:eastAsia="Times New Roman"/>
          <w:lang w:val="es-ES" w:eastAsia="es-ES_tradnl"/>
        </w:rPr>
        <w:t xml:space="preserve"> las prácticas homosexuales –de suyo infecundas– </w:t>
      </w:r>
      <w:r w:rsidR="00153EDC" w:rsidRPr="00314376">
        <w:rPr>
          <w:rFonts w:eastAsia="Times New Roman"/>
          <w:i/>
          <w:lang w:val="es-ES" w:eastAsia="es-ES_tradnl"/>
        </w:rPr>
        <w:t>distraían</w:t>
      </w:r>
      <w:r w:rsidR="00153EDC" w:rsidRPr="00314376">
        <w:rPr>
          <w:rFonts w:eastAsia="Times New Roman"/>
          <w:lang w:val="es-ES" w:eastAsia="es-ES_tradnl"/>
        </w:rPr>
        <w:t xml:space="preserve"> de las relaciones heterosexuales fecundas</w:t>
      </w:r>
      <w:r w:rsidR="003E49A1">
        <w:rPr>
          <w:rFonts w:eastAsia="Times New Roman"/>
          <w:lang w:val="es-ES" w:eastAsia="es-ES_tradnl"/>
        </w:rPr>
        <w:t xml:space="preserve">. </w:t>
      </w:r>
      <w:r w:rsidR="009839D4">
        <w:rPr>
          <w:rFonts w:eastAsia="Times New Roman"/>
          <w:lang w:val="es-ES" w:eastAsia="es-ES_tradnl"/>
        </w:rPr>
        <w:t xml:space="preserve">Por ello </w:t>
      </w:r>
      <w:r w:rsidR="009839D4" w:rsidRPr="00314376">
        <w:rPr>
          <w:rFonts w:eastAsia="Times New Roman"/>
          <w:lang w:val="es-ES" w:eastAsia="es-ES_tradnl"/>
        </w:rPr>
        <w:t>estaba</w:t>
      </w:r>
      <w:r w:rsidR="009839D4">
        <w:rPr>
          <w:rFonts w:eastAsia="Times New Roman"/>
          <w:lang w:val="es-ES" w:eastAsia="es-ES_tradnl"/>
        </w:rPr>
        <w:t>n</w:t>
      </w:r>
      <w:r w:rsidR="009839D4" w:rsidRPr="00314376">
        <w:rPr>
          <w:rFonts w:eastAsia="Times New Roman"/>
          <w:lang w:val="es-ES" w:eastAsia="es-ES_tradnl"/>
        </w:rPr>
        <w:t xml:space="preserve"> condenad</w:t>
      </w:r>
      <w:r w:rsidR="009839D4">
        <w:rPr>
          <w:rFonts w:eastAsia="Times New Roman"/>
          <w:lang w:val="es-ES" w:eastAsia="es-ES_tradnl"/>
        </w:rPr>
        <w:t>os</w:t>
      </w:r>
      <w:r w:rsidR="009839D4" w:rsidRPr="00314376">
        <w:rPr>
          <w:rFonts w:eastAsia="Times New Roman"/>
          <w:lang w:val="es-ES" w:eastAsia="es-ES_tradnl"/>
        </w:rPr>
        <w:t xml:space="preserve"> expresamente y se consideraba</w:t>
      </w:r>
      <w:r w:rsidR="009839D4">
        <w:rPr>
          <w:rFonts w:eastAsia="Times New Roman"/>
          <w:lang w:val="es-ES" w:eastAsia="es-ES_tradnl"/>
        </w:rPr>
        <w:t>n</w:t>
      </w:r>
      <w:r w:rsidR="009839D4" w:rsidRPr="00314376">
        <w:rPr>
          <w:rFonts w:eastAsia="Times New Roman"/>
          <w:lang w:val="es-ES" w:eastAsia="es-ES_tradnl"/>
        </w:rPr>
        <w:t xml:space="preserve"> una costumbre propia de pueblos paganos e idólatras</w:t>
      </w:r>
      <w:r w:rsidR="009839D4">
        <w:rPr>
          <w:rFonts w:eastAsia="Times New Roman"/>
          <w:lang w:val="es-ES" w:eastAsia="es-ES_tradnl"/>
        </w:rPr>
        <w:t>.</w:t>
      </w:r>
      <w:r w:rsidR="009839D4" w:rsidRPr="00314376">
        <w:rPr>
          <w:rFonts w:eastAsia="Times New Roman"/>
          <w:lang w:val="es-ES" w:eastAsia="es-ES_tradnl"/>
        </w:rPr>
        <w:t xml:space="preserve"> </w:t>
      </w:r>
      <w:r w:rsidR="009839D4">
        <w:rPr>
          <w:rFonts w:eastAsia="Times New Roman"/>
          <w:lang w:val="es-ES" w:eastAsia="es-ES_tradnl"/>
        </w:rPr>
        <w:t>Así, l</w:t>
      </w:r>
      <w:r w:rsidR="009839D4" w:rsidRPr="00314376">
        <w:rPr>
          <w:rFonts w:eastAsia="Times New Roman"/>
          <w:lang w:val="es-ES" w:eastAsia="es-ES_tradnl"/>
        </w:rPr>
        <w:t xml:space="preserve">a Ley mosaica señalaba en </w:t>
      </w:r>
      <w:proofErr w:type="spellStart"/>
      <w:r w:rsidR="009839D4" w:rsidRPr="00314376">
        <w:rPr>
          <w:rFonts w:eastAsia="Times New Roman"/>
          <w:lang w:val="es-ES" w:eastAsia="es-ES_tradnl"/>
        </w:rPr>
        <w:t>Lv</w:t>
      </w:r>
      <w:proofErr w:type="spellEnd"/>
      <w:r w:rsidR="009839D4" w:rsidRPr="00314376">
        <w:rPr>
          <w:rFonts w:eastAsia="Times New Roman"/>
          <w:lang w:val="es-ES" w:eastAsia="es-ES_tradnl"/>
        </w:rPr>
        <w:t xml:space="preserve"> 18,22: "</w:t>
      </w:r>
      <w:r w:rsidR="009839D4" w:rsidRPr="00314376">
        <w:rPr>
          <w:rFonts w:eastAsia="Times New Roman"/>
          <w:i/>
          <w:lang w:val="es-ES" w:eastAsia="es-ES_tradnl"/>
        </w:rPr>
        <w:t>No te acostarás con varón como con mujer; es abominación</w:t>
      </w:r>
      <w:r w:rsidR="009839D4" w:rsidRPr="00314376">
        <w:rPr>
          <w:rFonts w:eastAsia="Times New Roman"/>
          <w:lang w:val="es-ES" w:eastAsia="es-ES_tradnl"/>
        </w:rPr>
        <w:t xml:space="preserve">” y </w:t>
      </w:r>
      <w:r w:rsidR="009839D4">
        <w:rPr>
          <w:rFonts w:eastAsia="Times New Roman"/>
          <w:lang w:val="es-ES" w:eastAsia="es-ES_tradnl"/>
        </w:rPr>
        <w:t>más adelante</w:t>
      </w:r>
      <w:r w:rsidR="009839D4" w:rsidRPr="00314376">
        <w:rPr>
          <w:rFonts w:eastAsia="Times New Roman"/>
          <w:lang w:val="es-ES" w:eastAsia="es-ES_tradnl"/>
        </w:rPr>
        <w:t>: "</w:t>
      </w:r>
      <w:r w:rsidR="009839D4" w:rsidRPr="00314376">
        <w:rPr>
          <w:rFonts w:eastAsia="Times New Roman"/>
          <w:i/>
          <w:lang w:val="es-ES" w:eastAsia="es-ES_tradnl"/>
        </w:rPr>
        <w:t>Si alguien se acuesta con varón como se hace con mujer, ambos han cometido abominación: morirán sin remedio; su sangre caerá sobre ellos</w:t>
      </w:r>
      <w:r w:rsidR="009839D4" w:rsidRPr="00314376">
        <w:rPr>
          <w:rFonts w:eastAsia="Times New Roman"/>
          <w:lang w:val="es-ES" w:eastAsia="es-ES_tradnl"/>
        </w:rPr>
        <w:t>"</w:t>
      </w:r>
      <w:r w:rsidR="009839D4">
        <w:rPr>
          <w:rFonts w:eastAsia="Times New Roman"/>
          <w:lang w:val="es-ES" w:eastAsia="es-ES_tradnl"/>
        </w:rPr>
        <w:t xml:space="preserve"> (</w:t>
      </w:r>
      <w:proofErr w:type="spellStart"/>
      <w:r w:rsidR="009839D4" w:rsidRPr="00314376">
        <w:rPr>
          <w:rFonts w:eastAsia="Times New Roman"/>
          <w:lang w:val="es-ES" w:eastAsia="es-ES_tradnl"/>
        </w:rPr>
        <w:t>Lv</w:t>
      </w:r>
      <w:proofErr w:type="spellEnd"/>
      <w:r w:rsidR="009839D4" w:rsidRPr="00314376">
        <w:rPr>
          <w:rFonts w:eastAsia="Times New Roman"/>
          <w:lang w:val="es-ES" w:eastAsia="es-ES_tradnl"/>
        </w:rPr>
        <w:t xml:space="preserve"> 20,13</w:t>
      </w:r>
      <w:r w:rsidR="009839D4">
        <w:rPr>
          <w:rFonts w:eastAsia="Times New Roman"/>
          <w:lang w:val="es-ES" w:eastAsia="es-ES_tradnl"/>
        </w:rPr>
        <w:t>)</w:t>
      </w:r>
      <w:r w:rsidR="009839D4" w:rsidRPr="00314376">
        <w:rPr>
          <w:rFonts w:eastAsia="Times New Roman"/>
          <w:lang w:val="es-ES" w:eastAsia="es-ES_tradnl"/>
        </w:rPr>
        <w:t xml:space="preserve">. </w:t>
      </w:r>
    </w:p>
    <w:p w:rsidR="00761EBA" w:rsidRPr="009839D4" w:rsidRDefault="00761EBA" w:rsidP="009839D4">
      <w:pPr>
        <w:spacing w:after="0"/>
        <w:rPr>
          <w:rFonts w:eastAsia="Times New Roman"/>
          <w:lang w:val="es-ES" w:eastAsia="es-ES_tradnl"/>
        </w:rPr>
      </w:pPr>
      <w:r w:rsidRPr="00314376">
        <w:rPr>
          <w:rFonts w:eastAsia="Times New Roman"/>
          <w:lang w:val="es-ES" w:eastAsia="es-ES_tradnl"/>
        </w:rPr>
        <w:t>Queda fuera de este trabajo el estudio de los textos sobre la homosexualidad en el Antiguo Testamento</w:t>
      </w:r>
      <w:r w:rsidR="005D1E3B">
        <w:rPr>
          <w:rFonts w:eastAsia="Times New Roman"/>
          <w:lang w:val="es-ES" w:eastAsia="es-ES_tradnl"/>
        </w:rPr>
        <w:t>,</w:t>
      </w:r>
      <w:r w:rsidRPr="00314376">
        <w:rPr>
          <w:rFonts w:eastAsia="Times New Roman"/>
          <w:lang w:val="es-ES" w:eastAsia="es-ES_tradnl"/>
        </w:rPr>
        <w:t xml:space="preserve"> sin embargo, </w:t>
      </w:r>
      <w:r w:rsidR="005D1E3B">
        <w:rPr>
          <w:rFonts w:eastAsia="Times New Roman"/>
          <w:lang w:val="es-ES" w:eastAsia="es-ES_tradnl"/>
        </w:rPr>
        <w:t xml:space="preserve">es necesario tener presente </w:t>
      </w:r>
      <w:r w:rsidRPr="00314376">
        <w:rPr>
          <w:rFonts w:eastAsia="Times New Roman"/>
          <w:lang w:val="es-ES" w:eastAsia="es-ES_tradnl"/>
        </w:rPr>
        <w:t>estas dos citas del Levítico</w:t>
      </w:r>
      <w:r w:rsidR="005D1E3B">
        <w:rPr>
          <w:rFonts w:eastAsia="Times New Roman"/>
          <w:lang w:val="es-ES" w:eastAsia="es-ES_tradnl"/>
        </w:rPr>
        <w:t xml:space="preserve"> que</w:t>
      </w:r>
      <w:r w:rsidRPr="00314376">
        <w:rPr>
          <w:rFonts w:eastAsia="Times New Roman"/>
          <w:lang w:val="es-ES" w:eastAsia="es-ES_tradnl"/>
        </w:rPr>
        <w:t xml:space="preserve"> </w:t>
      </w:r>
      <w:r w:rsidR="007E20B1">
        <w:rPr>
          <w:rFonts w:eastAsia="Times New Roman"/>
          <w:lang w:val="es-ES" w:eastAsia="es-ES_tradnl"/>
        </w:rPr>
        <w:t xml:space="preserve">muestran la enseñanza de </w:t>
      </w:r>
      <w:r w:rsidRPr="00314376">
        <w:rPr>
          <w:rFonts w:eastAsia="Times New Roman"/>
          <w:lang w:val="es-ES" w:eastAsia="es-ES_tradnl"/>
        </w:rPr>
        <w:t>los rabinos y doctores de la Ley</w:t>
      </w:r>
      <w:r w:rsidR="005D1E3B">
        <w:rPr>
          <w:rFonts w:eastAsia="Times New Roman"/>
          <w:lang w:val="es-ES" w:eastAsia="es-ES_tradnl"/>
        </w:rPr>
        <w:t xml:space="preserve"> </w:t>
      </w:r>
      <w:r w:rsidR="00153EDC">
        <w:rPr>
          <w:rFonts w:eastAsia="Times New Roman"/>
          <w:lang w:val="es-ES" w:eastAsia="es-ES_tradnl"/>
        </w:rPr>
        <w:t xml:space="preserve">como </w:t>
      </w:r>
      <w:r w:rsidR="009839D4">
        <w:rPr>
          <w:rFonts w:eastAsia="Times New Roman"/>
          <w:lang w:val="es-ES" w:eastAsia="es-ES_tradnl"/>
        </w:rPr>
        <w:t>el pasaje</w:t>
      </w:r>
      <w:r w:rsidR="005D1E3B">
        <w:rPr>
          <w:rFonts w:eastAsia="Times New Roman"/>
          <w:lang w:val="es-ES" w:eastAsia="es-ES_tradnl"/>
        </w:rPr>
        <w:t xml:space="preserve"> del Génesis</w:t>
      </w:r>
      <w:r w:rsidR="009839D4">
        <w:rPr>
          <w:rFonts w:eastAsia="Times New Roman"/>
          <w:lang w:val="es-ES" w:eastAsia="es-ES_tradnl"/>
        </w:rPr>
        <w:t xml:space="preserve"> citado, además del pasaje en el que</w:t>
      </w:r>
      <w:r w:rsidR="005D1E3B">
        <w:rPr>
          <w:rFonts w:eastAsia="Times New Roman"/>
          <w:lang w:val="es-ES" w:eastAsia="es-ES_tradnl"/>
        </w:rPr>
        <w:t xml:space="preserve"> Dios forma la pareja humana complementaria –hombre y mujer–</w:t>
      </w:r>
      <w:r w:rsidR="009839D4">
        <w:rPr>
          <w:rFonts w:eastAsia="Times New Roman"/>
          <w:lang w:val="es-ES" w:eastAsia="es-ES_tradnl"/>
        </w:rPr>
        <w:t xml:space="preserve"> dónde </w:t>
      </w:r>
      <w:r w:rsidRPr="00314376">
        <w:rPr>
          <w:rFonts w:eastAsia="Times New Roman"/>
          <w:lang w:val="es-ES" w:eastAsia="es-ES_tradnl"/>
        </w:rPr>
        <w:t>Dios da a Eva a Adán como compañera para evitar su soledad: “</w:t>
      </w:r>
      <w:r w:rsidRPr="00314376">
        <w:rPr>
          <w:rFonts w:eastAsia="Times New Roman"/>
          <w:i/>
          <w:lang w:val="es-ES" w:eastAsia="es-ES_tradnl"/>
        </w:rPr>
        <w:t>Entonces dijo el Señor Dios: —No es bueno que el hombre esté solo; voy a hacerle una ayuda adecuada para él. (…) Y el Señor Dios, de la costilla que había tomado del hombre, formó una mujer y la presentó al hombre. Entonces dijo el hombre: —Ésta sí es hueso de mis huesos, y carne de mi carne. Se la llamará mujer, porque del varón fue hecha. Por eso, dejará el hombre a su padre y a su madre y se unirá a su mujer y serán una sola carne</w:t>
      </w:r>
      <w:r w:rsidRPr="00314376">
        <w:rPr>
          <w:rFonts w:eastAsia="Times New Roman"/>
          <w:lang w:val="es-ES" w:eastAsia="es-ES_tradnl"/>
        </w:rPr>
        <w:t>.”</w:t>
      </w:r>
      <w:r w:rsidR="000856D7">
        <w:rPr>
          <w:rStyle w:val="Refdenotaalpie"/>
          <w:rFonts w:eastAsia="Times New Roman"/>
          <w:lang w:val="es-ES" w:eastAsia="es-ES_tradnl"/>
        </w:rPr>
        <w:footnoteReference w:id="3"/>
      </w:r>
      <w:r w:rsidR="009839D4">
        <w:rPr>
          <w:rFonts w:eastAsia="Times New Roman"/>
          <w:lang w:val="es-ES" w:eastAsia="es-ES_tradnl"/>
        </w:rPr>
        <w:t xml:space="preserve">. Estos dos textos del Génesis son empleados por el Magisterio y la Tradición para explicar la necesidad de la complementariedad en las relaciones sexuales, y descartar como </w:t>
      </w:r>
      <w:r w:rsidR="009839D4">
        <w:rPr>
          <w:rFonts w:eastAsia="Times New Roman"/>
          <w:i/>
          <w:lang w:val="es-ES" w:eastAsia="es-ES_tradnl"/>
        </w:rPr>
        <w:t>normales</w:t>
      </w:r>
      <w:r w:rsidR="009839D4">
        <w:rPr>
          <w:rFonts w:eastAsia="Times New Roman"/>
          <w:lang w:val="es-ES" w:eastAsia="es-ES_tradnl"/>
        </w:rPr>
        <w:t xml:space="preserve"> las relaciones homosexuales.</w:t>
      </w:r>
    </w:p>
    <w:p w:rsidR="005248DC" w:rsidRPr="009839D4" w:rsidRDefault="006764BC" w:rsidP="009839D4">
      <w:pPr>
        <w:pStyle w:val="Ttulo1"/>
        <w:keepNext w:val="0"/>
        <w:keepLines w:val="0"/>
        <w:numPr>
          <w:ilvl w:val="0"/>
          <w:numId w:val="7"/>
        </w:numPr>
        <w:spacing w:before="600" w:after="0"/>
        <w:rPr>
          <w:rFonts w:asciiTheme="minorHAnsi" w:hAnsiTheme="minorHAnsi"/>
        </w:rPr>
      </w:pPr>
      <w:r w:rsidRPr="00314376">
        <w:rPr>
          <w:rFonts w:asciiTheme="minorHAnsi" w:hAnsiTheme="minorHAnsi"/>
        </w:rPr>
        <w:t xml:space="preserve">el problema de la </w:t>
      </w:r>
      <w:r w:rsidR="0058307C" w:rsidRPr="00314376">
        <w:rPr>
          <w:rFonts w:asciiTheme="minorHAnsi" w:hAnsiTheme="minorHAnsi"/>
        </w:rPr>
        <w:t>interpretación</w:t>
      </w:r>
      <w:r w:rsidRPr="00314376">
        <w:rPr>
          <w:rFonts w:asciiTheme="minorHAnsi" w:hAnsiTheme="minorHAnsi"/>
        </w:rPr>
        <w:t xml:space="preserve"> de “</w:t>
      </w:r>
      <w:proofErr w:type="spellStart"/>
      <w:r w:rsidRPr="00314376">
        <w:rPr>
          <w:rFonts w:asciiTheme="minorHAnsi" w:hAnsiTheme="minorHAnsi"/>
          <w:i/>
        </w:rPr>
        <w:t>malakoi</w:t>
      </w:r>
      <w:proofErr w:type="spellEnd"/>
      <w:r w:rsidRPr="00314376">
        <w:rPr>
          <w:rFonts w:asciiTheme="minorHAnsi" w:hAnsiTheme="minorHAnsi"/>
        </w:rPr>
        <w:t>” y “</w:t>
      </w:r>
      <w:proofErr w:type="spellStart"/>
      <w:r w:rsidRPr="00314376">
        <w:rPr>
          <w:rFonts w:asciiTheme="minorHAnsi" w:hAnsiTheme="minorHAnsi"/>
          <w:i/>
        </w:rPr>
        <w:t>arsenokoitai</w:t>
      </w:r>
      <w:proofErr w:type="spellEnd"/>
      <w:r w:rsidRPr="00314376">
        <w:rPr>
          <w:rFonts w:asciiTheme="minorHAnsi" w:hAnsiTheme="minorHAnsi"/>
        </w:rPr>
        <w:t xml:space="preserve">” en la 1ª carta a corintios y la </w:t>
      </w:r>
      <w:r w:rsidR="009839D4">
        <w:rPr>
          <w:rFonts w:asciiTheme="minorHAnsi" w:hAnsiTheme="minorHAnsi"/>
        </w:rPr>
        <w:t xml:space="preserve">1ª </w:t>
      </w:r>
      <w:r w:rsidRPr="00314376">
        <w:rPr>
          <w:rFonts w:asciiTheme="minorHAnsi" w:hAnsiTheme="minorHAnsi"/>
        </w:rPr>
        <w:t xml:space="preserve">carta a </w:t>
      </w:r>
      <w:proofErr w:type="spellStart"/>
      <w:r w:rsidRPr="00314376">
        <w:rPr>
          <w:rFonts w:asciiTheme="minorHAnsi" w:hAnsiTheme="minorHAnsi"/>
        </w:rPr>
        <w:t>timoteo</w:t>
      </w:r>
      <w:proofErr w:type="spellEnd"/>
      <w:r w:rsidRPr="00314376">
        <w:rPr>
          <w:rFonts w:asciiTheme="minorHAnsi" w:hAnsiTheme="minorHAnsi"/>
        </w:rPr>
        <w:t>.</w:t>
      </w:r>
    </w:p>
    <w:tbl>
      <w:tblPr>
        <w:tblStyle w:val="Tablaconcuadrcula"/>
        <w:tblW w:w="0" w:type="auto"/>
        <w:jc w:val="center"/>
        <w:tblLook w:val="04A0" w:firstRow="1" w:lastRow="0" w:firstColumn="1" w:lastColumn="0" w:noHBand="0" w:noVBand="1"/>
      </w:tblPr>
      <w:tblGrid>
        <w:gridCol w:w="4673"/>
        <w:gridCol w:w="3815"/>
      </w:tblGrid>
      <w:tr w:rsidR="00840414" w:rsidRPr="00314376" w:rsidTr="000856D7">
        <w:trPr>
          <w:trHeight w:hRule="exact" w:val="457"/>
          <w:jc w:val="center"/>
        </w:trPr>
        <w:tc>
          <w:tcPr>
            <w:tcW w:w="4673" w:type="dxa"/>
            <w:vAlign w:val="center"/>
          </w:tcPr>
          <w:p w:rsidR="00840414" w:rsidRPr="00314376" w:rsidRDefault="00840414" w:rsidP="00840414">
            <w:pPr>
              <w:ind w:firstLine="0"/>
              <w:jc w:val="center"/>
              <w:rPr>
                <w:rFonts w:eastAsia="Times New Roman" w:cs="Arial"/>
                <w:b/>
                <w:sz w:val="20"/>
                <w:szCs w:val="20"/>
                <w:lang w:val="es-ES" w:eastAsia="es-ES_tradnl"/>
              </w:rPr>
            </w:pPr>
            <w:r w:rsidRPr="00314376">
              <w:rPr>
                <w:rFonts w:eastAsia="Times New Roman" w:cs="Arial"/>
                <w:b/>
                <w:sz w:val="20"/>
                <w:szCs w:val="20"/>
                <w:lang w:val="es-ES" w:eastAsia="es-ES_tradnl"/>
              </w:rPr>
              <w:t xml:space="preserve">1 </w:t>
            </w:r>
            <w:proofErr w:type="gramStart"/>
            <w:r w:rsidRPr="00314376">
              <w:rPr>
                <w:rFonts w:eastAsia="Times New Roman" w:cs="Arial"/>
                <w:b/>
                <w:sz w:val="20"/>
                <w:szCs w:val="20"/>
                <w:lang w:val="es-ES" w:eastAsia="es-ES_tradnl"/>
              </w:rPr>
              <w:t>Corintios</w:t>
            </w:r>
            <w:proofErr w:type="gramEnd"/>
            <w:r w:rsidRPr="00314376">
              <w:rPr>
                <w:rFonts w:eastAsia="Times New Roman" w:cs="Arial"/>
                <w:b/>
                <w:sz w:val="20"/>
                <w:szCs w:val="20"/>
                <w:lang w:val="es-ES" w:eastAsia="es-ES_tradnl"/>
              </w:rPr>
              <w:t xml:space="preserve"> 6, 6-10</w:t>
            </w:r>
          </w:p>
        </w:tc>
        <w:tc>
          <w:tcPr>
            <w:tcW w:w="3815" w:type="dxa"/>
            <w:vAlign w:val="center"/>
          </w:tcPr>
          <w:p w:rsidR="00840414" w:rsidRPr="00314376" w:rsidRDefault="009839D4" w:rsidP="00840414">
            <w:pPr>
              <w:ind w:firstLine="0"/>
              <w:jc w:val="center"/>
              <w:rPr>
                <w:rFonts w:eastAsia="Times New Roman" w:cs="Arial"/>
                <w:b/>
                <w:color w:val="000000" w:themeColor="text1"/>
                <w:sz w:val="20"/>
                <w:szCs w:val="20"/>
                <w:lang w:val="es-ES" w:eastAsia="es-ES_tradnl"/>
              </w:rPr>
            </w:pPr>
            <w:r>
              <w:rPr>
                <w:rFonts w:eastAsia="Times New Roman" w:cs="Arial"/>
                <w:b/>
                <w:color w:val="000000" w:themeColor="text1"/>
                <w:sz w:val="20"/>
                <w:szCs w:val="20"/>
                <w:lang w:val="es-ES" w:eastAsia="es-ES_tradnl"/>
              </w:rPr>
              <w:t>1</w:t>
            </w:r>
            <w:r w:rsidR="00840414" w:rsidRPr="00314376">
              <w:rPr>
                <w:rFonts w:eastAsia="Times New Roman" w:cs="Arial"/>
                <w:b/>
                <w:color w:val="000000" w:themeColor="text1"/>
                <w:sz w:val="20"/>
                <w:szCs w:val="20"/>
                <w:lang w:val="es-ES" w:eastAsia="es-ES_tradnl"/>
              </w:rPr>
              <w:t>Timoteo 1, 9-11</w:t>
            </w:r>
          </w:p>
        </w:tc>
      </w:tr>
      <w:tr w:rsidR="00840414" w:rsidRPr="00314376" w:rsidTr="000856D7">
        <w:trPr>
          <w:jc w:val="center"/>
        </w:trPr>
        <w:tc>
          <w:tcPr>
            <w:tcW w:w="4673" w:type="dxa"/>
          </w:tcPr>
          <w:p w:rsidR="0012067E" w:rsidRPr="0012067E" w:rsidRDefault="00840414" w:rsidP="00840414">
            <w:pPr>
              <w:ind w:firstLine="0"/>
              <w:jc w:val="left"/>
              <w:rPr>
                <w:vertAlign w:val="superscript"/>
              </w:rPr>
            </w:pPr>
            <w:r w:rsidRPr="00314376">
              <w:rPr>
                <w:rFonts w:cs="Arial"/>
                <w:i/>
                <w:sz w:val="20"/>
                <w:szCs w:val="20"/>
                <w:lang w:val="es-ES" w:eastAsia="es-ES_tradnl"/>
              </w:rPr>
              <w:t>“</w:t>
            </w:r>
            <w:r w:rsidRPr="00314376">
              <w:rPr>
                <w:rFonts w:cs="Arial"/>
                <w:i/>
                <w:sz w:val="20"/>
                <w:szCs w:val="20"/>
                <w:vertAlign w:val="superscript"/>
                <w:lang w:val="es-ES" w:eastAsia="es-ES_tradnl"/>
              </w:rPr>
              <w:t>6</w:t>
            </w:r>
            <w:r w:rsidRPr="00314376">
              <w:rPr>
                <w:rFonts w:cs="Arial"/>
                <w:i/>
                <w:sz w:val="20"/>
                <w:szCs w:val="20"/>
                <w:lang w:val="es-ES" w:eastAsia="es-ES_tradnl"/>
              </w:rPr>
              <w:t xml:space="preserve"> sino que vais a pleitear hermano contra hermano, y eso ante infieles? </w:t>
            </w:r>
            <w:r w:rsidRPr="00314376">
              <w:rPr>
                <w:rFonts w:cs="Arial"/>
                <w:i/>
                <w:sz w:val="20"/>
                <w:szCs w:val="20"/>
                <w:vertAlign w:val="superscript"/>
                <w:lang w:val="es-ES" w:eastAsia="es-ES_tradnl"/>
              </w:rPr>
              <w:t xml:space="preserve">7 </w:t>
            </w:r>
            <w:proofErr w:type="gramStart"/>
            <w:r w:rsidRPr="00314376">
              <w:rPr>
                <w:rFonts w:cs="Arial"/>
                <w:i/>
                <w:sz w:val="20"/>
                <w:szCs w:val="20"/>
                <w:lang w:val="es-ES" w:eastAsia="es-ES_tradnl"/>
              </w:rPr>
              <w:t>De</w:t>
            </w:r>
            <w:proofErr w:type="gramEnd"/>
            <w:r w:rsidRPr="00314376">
              <w:rPr>
                <w:rFonts w:cs="Arial"/>
                <w:i/>
                <w:sz w:val="20"/>
                <w:szCs w:val="20"/>
                <w:lang w:val="es-ES" w:eastAsia="es-ES_tradnl"/>
              </w:rPr>
              <w:t xml:space="preserve"> todos modos, ya es un fracaso vuestro que haya pleitos entre vosotros. ¿Por qué no preferís sufrir la injusticia? ¿Por qué no preferís ser despojados? </w:t>
            </w:r>
            <w:r w:rsidRPr="00314376">
              <w:rPr>
                <w:rFonts w:cs="Arial"/>
                <w:i/>
                <w:sz w:val="20"/>
                <w:szCs w:val="20"/>
                <w:vertAlign w:val="superscript"/>
                <w:lang w:val="es-ES" w:eastAsia="es-ES_tradnl"/>
              </w:rPr>
              <w:t xml:space="preserve">8 </w:t>
            </w:r>
            <w:proofErr w:type="gramStart"/>
            <w:r w:rsidRPr="00314376">
              <w:rPr>
                <w:rFonts w:cs="Arial"/>
                <w:i/>
                <w:sz w:val="20"/>
                <w:szCs w:val="20"/>
                <w:lang w:val="es-ES" w:eastAsia="es-ES_tradnl"/>
              </w:rPr>
              <w:t>Al</w:t>
            </w:r>
            <w:proofErr w:type="gramEnd"/>
            <w:r w:rsidRPr="00314376">
              <w:rPr>
                <w:rFonts w:cs="Arial"/>
                <w:i/>
                <w:sz w:val="20"/>
                <w:szCs w:val="20"/>
                <w:lang w:val="es-ES" w:eastAsia="es-ES_tradnl"/>
              </w:rPr>
              <w:t xml:space="preserve"> contrario, sois vosotros los que hacéis injusticias y despojáis, y precisamente a vuestros hermanos. </w:t>
            </w:r>
            <w:r w:rsidRPr="00314376">
              <w:rPr>
                <w:rFonts w:cs="Arial"/>
                <w:i/>
                <w:sz w:val="20"/>
                <w:szCs w:val="20"/>
                <w:vertAlign w:val="superscript"/>
                <w:lang w:val="es-ES" w:eastAsia="es-ES_tradnl"/>
              </w:rPr>
              <w:t xml:space="preserve">9 </w:t>
            </w:r>
            <w:r w:rsidRPr="00314376">
              <w:rPr>
                <w:rFonts w:cs="Arial"/>
                <w:i/>
                <w:sz w:val="20"/>
                <w:szCs w:val="20"/>
                <w:lang w:val="es-ES" w:eastAsia="es-ES_tradnl"/>
              </w:rPr>
              <w:t>¿Es que no sabéis que los injustos no heredarán el Reino de Dios? No os engañéis: ni los fornicarios, ni los idólatras, ni los adúlteros, ni los afeminados [</w:t>
            </w:r>
            <w:proofErr w:type="spellStart"/>
            <w:r w:rsidRPr="00314376">
              <w:rPr>
                <w:rFonts w:eastAsia="Times New Roman" w:cs="Arial"/>
                <w:b/>
                <w:bCs/>
                <w:i/>
                <w:iCs/>
                <w:color w:val="000000"/>
                <w:sz w:val="20"/>
                <w:szCs w:val="20"/>
                <w:lang w:val="es-ES" w:eastAsia="es-ES_tradnl"/>
              </w:rPr>
              <w:t>malakòi</w:t>
            </w:r>
            <w:proofErr w:type="spellEnd"/>
            <w:r w:rsidRPr="00314376">
              <w:rPr>
                <w:rFonts w:cs="Arial"/>
                <w:i/>
                <w:sz w:val="20"/>
                <w:szCs w:val="20"/>
                <w:lang w:val="es-ES" w:eastAsia="es-ES_tradnl"/>
              </w:rPr>
              <w:t>], ni los sodomitas [</w:t>
            </w:r>
            <w:proofErr w:type="spellStart"/>
            <w:r w:rsidRPr="00314376">
              <w:rPr>
                <w:rFonts w:eastAsia="Times New Roman" w:cs="Arial"/>
                <w:b/>
                <w:bCs/>
                <w:i/>
                <w:iCs/>
                <w:color w:val="000000"/>
                <w:sz w:val="20"/>
                <w:szCs w:val="20"/>
                <w:lang w:val="es-ES" w:eastAsia="es-ES_tradnl"/>
              </w:rPr>
              <w:t>Arsenokòitai</w:t>
            </w:r>
            <w:proofErr w:type="spellEnd"/>
            <w:r w:rsidRPr="00314376">
              <w:rPr>
                <w:rFonts w:cs="Arial"/>
                <w:i/>
                <w:sz w:val="20"/>
                <w:szCs w:val="20"/>
                <w:lang w:val="es-ES" w:eastAsia="es-ES_tradnl"/>
              </w:rPr>
              <w:t xml:space="preserve">], </w:t>
            </w:r>
            <w:r w:rsidRPr="00314376">
              <w:rPr>
                <w:rFonts w:cs="Arial"/>
                <w:i/>
                <w:sz w:val="20"/>
                <w:szCs w:val="20"/>
                <w:vertAlign w:val="superscript"/>
                <w:lang w:val="es-ES" w:eastAsia="es-ES_tradnl"/>
              </w:rPr>
              <w:t xml:space="preserve">10 </w:t>
            </w:r>
            <w:r w:rsidRPr="00314376">
              <w:rPr>
                <w:rFonts w:cs="Arial"/>
                <w:i/>
                <w:sz w:val="20"/>
                <w:szCs w:val="20"/>
                <w:lang w:val="es-ES" w:eastAsia="es-ES_tradnl"/>
              </w:rPr>
              <w:t>ni los ladrones, ni los avaros, ni los borrachos, ni los injuriosos, ni los rapaces heredarán el Reino de Dios.”</w:t>
            </w:r>
          </w:p>
        </w:tc>
        <w:tc>
          <w:tcPr>
            <w:tcW w:w="3815" w:type="dxa"/>
          </w:tcPr>
          <w:p w:rsidR="00840414" w:rsidRPr="00314376" w:rsidRDefault="00840414" w:rsidP="00840414">
            <w:pPr>
              <w:ind w:firstLine="0"/>
              <w:jc w:val="left"/>
              <w:rPr>
                <w:rFonts w:eastAsia="Times New Roman" w:cs="Arial"/>
                <w:color w:val="000000" w:themeColor="text1"/>
                <w:sz w:val="20"/>
                <w:szCs w:val="20"/>
                <w:lang w:val="es-ES" w:eastAsia="es-ES_tradnl"/>
              </w:rPr>
            </w:pPr>
            <w:r w:rsidRPr="00314376">
              <w:rPr>
                <w:rFonts w:eastAsia="Times New Roman" w:cs="Arial"/>
                <w:color w:val="000000" w:themeColor="text1"/>
                <w:sz w:val="20"/>
                <w:szCs w:val="20"/>
                <w:lang w:val="es-ES" w:eastAsia="es-ES_tradnl"/>
              </w:rPr>
              <w:t>“</w:t>
            </w:r>
            <w:r w:rsidRPr="00314376">
              <w:rPr>
                <w:rFonts w:cs="Arial"/>
                <w:i/>
                <w:sz w:val="20"/>
                <w:szCs w:val="20"/>
                <w:vertAlign w:val="superscript"/>
                <w:lang w:val="es-ES" w:eastAsia="es-ES_tradnl"/>
              </w:rPr>
              <w:t>9</w:t>
            </w:r>
            <w:r w:rsidRPr="00314376">
              <w:rPr>
                <w:rFonts w:cs="Arial"/>
                <w:i/>
                <w:sz w:val="20"/>
                <w:szCs w:val="20"/>
                <w:lang w:val="es-ES" w:eastAsia="es-ES_tradnl"/>
              </w:rPr>
              <w:t xml:space="preserve">teniendo en cuenta que la Ley no se ha dado para el justo sino para quienes no admiten norma ni sometimiento, para los impíos y pecadores, sacrílegos y profanadores, parricidas y matricidas, homicidas, </w:t>
            </w:r>
            <w:r w:rsidRPr="00314376">
              <w:rPr>
                <w:rFonts w:cs="Arial"/>
                <w:i/>
                <w:sz w:val="20"/>
                <w:szCs w:val="20"/>
                <w:vertAlign w:val="superscript"/>
                <w:lang w:val="es-ES" w:eastAsia="es-ES_tradnl"/>
              </w:rPr>
              <w:t>10</w:t>
            </w:r>
            <w:r w:rsidRPr="00314376">
              <w:rPr>
                <w:rFonts w:cs="Arial"/>
                <w:i/>
                <w:sz w:val="20"/>
                <w:szCs w:val="20"/>
                <w:lang w:val="es-ES" w:eastAsia="es-ES_tradnl"/>
              </w:rPr>
              <w:t>adúlteros, sodomitas [</w:t>
            </w:r>
            <w:proofErr w:type="spellStart"/>
            <w:r w:rsidRPr="00314376">
              <w:rPr>
                <w:rFonts w:eastAsia="Times New Roman" w:cs="Arial"/>
                <w:b/>
                <w:bCs/>
                <w:i/>
                <w:iCs/>
                <w:color w:val="000000"/>
                <w:sz w:val="20"/>
                <w:szCs w:val="20"/>
                <w:lang w:val="es-ES" w:eastAsia="es-ES_tradnl"/>
              </w:rPr>
              <w:t>Arsenokòitai</w:t>
            </w:r>
            <w:proofErr w:type="spellEnd"/>
            <w:r w:rsidRPr="00314376">
              <w:rPr>
                <w:rFonts w:cs="Arial"/>
                <w:i/>
                <w:sz w:val="20"/>
                <w:szCs w:val="20"/>
                <w:lang w:val="es-ES" w:eastAsia="es-ES_tradnl"/>
              </w:rPr>
              <w:t xml:space="preserve">], traficantes de hombres, mentirosos, perjuros y para todo cuanto se opone a la sana doctrina, </w:t>
            </w:r>
            <w:r w:rsidRPr="00314376">
              <w:rPr>
                <w:rFonts w:cs="Arial"/>
                <w:i/>
                <w:sz w:val="20"/>
                <w:szCs w:val="20"/>
                <w:vertAlign w:val="superscript"/>
                <w:lang w:val="es-ES" w:eastAsia="es-ES_tradnl"/>
              </w:rPr>
              <w:t>11</w:t>
            </w:r>
            <w:r w:rsidRPr="00314376">
              <w:rPr>
                <w:rFonts w:cs="Arial"/>
                <w:i/>
                <w:sz w:val="20"/>
                <w:szCs w:val="20"/>
                <w:lang w:val="es-ES" w:eastAsia="es-ES_tradnl"/>
              </w:rPr>
              <w:t>según el Evangelio de la gloria del Dios bienaventurado, que me ha sido confiado.</w:t>
            </w:r>
            <w:r w:rsidRPr="00314376">
              <w:rPr>
                <w:rFonts w:eastAsia="Times New Roman" w:cs="Arial"/>
                <w:color w:val="000000" w:themeColor="text1"/>
                <w:sz w:val="20"/>
                <w:szCs w:val="20"/>
                <w:lang w:val="es-ES" w:eastAsia="es-ES_tradnl"/>
              </w:rPr>
              <w:t xml:space="preserve">” </w:t>
            </w:r>
          </w:p>
        </w:tc>
      </w:tr>
    </w:tbl>
    <w:p w:rsidR="00A15C9C" w:rsidRPr="00FF669F" w:rsidRDefault="00A15C9C" w:rsidP="00FF669F">
      <w:pPr>
        <w:rPr>
          <w:rFonts w:eastAsia="Times New Roman"/>
          <w:lang w:val="es-ES" w:eastAsia="es-ES_tradnl"/>
        </w:rPr>
      </w:pPr>
      <w:r w:rsidRPr="00314376">
        <w:rPr>
          <w:rFonts w:eastAsia="Times New Roman"/>
          <w:lang w:val="es-ES" w:eastAsia="es-ES_tradnl"/>
        </w:rPr>
        <w:lastRenderedPageBreak/>
        <w:t xml:space="preserve">Lo primero que hay que tener en cuenta al estudiar la </w:t>
      </w:r>
      <w:r w:rsidRPr="00314376">
        <w:rPr>
          <w:rFonts w:eastAsia="Times New Roman"/>
          <w:i/>
          <w:lang w:val="es-ES" w:eastAsia="es-ES_tradnl"/>
        </w:rPr>
        <w:t xml:space="preserve">conexión </w:t>
      </w:r>
      <w:r w:rsidRPr="00314376">
        <w:rPr>
          <w:rFonts w:eastAsia="Times New Roman"/>
          <w:lang w:val="es-ES" w:eastAsia="es-ES_tradnl"/>
        </w:rPr>
        <w:t>de estas dos palabras con la homosexualidad es que el termino homosexual</w:t>
      </w:r>
      <w:r>
        <w:rPr>
          <w:rFonts w:eastAsia="Times New Roman"/>
          <w:lang w:val="es-ES" w:eastAsia="es-ES_tradnl"/>
        </w:rPr>
        <w:t xml:space="preserve"> tal y como lo conocemos ahora</w:t>
      </w:r>
      <w:r w:rsidRPr="00314376">
        <w:rPr>
          <w:rFonts w:eastAsia="Times New Roman"/>
          <w:lang w:val="es-ES" w:eastAsia="es-ES_tradnl"/>
        </w:rPr>
        <w:t xml:space="preserve"> no se empleaba –porque se desconocía como tal– en el siglo I</w:t>
      </w:r>
      <w:r>
        <w:rPr>
          <w:rFonts w:eastAsia="Times New Roman"/>
          <w:lang w:val="es-ES" w:eastAsia="es-ES_tradnl"/>
        </w:rPr>
        <w:t>. D</w:t>
      </w:r>
      <w:r w:rsidRPr="00314376">
        <w:rPr>
          <w:rFonts w:eastAsia="Times New Roman"/>
          <w:lang w:val="es-ES" w:eastAsia="es-ES_tradnl"/>
        </w:rPr>
        <w:t>e hecho, e</w:t>
      </w:r>
      <w:r>
        <w:rPr>
          <w:rFonts w:eastAsia="Times New Roman"/>
          <w:lang w:val="es-ES" w:eastAsia="es-ES_tradnl"/>
        </w:rPr>
        <w:t>s</w:t>
      </w:r>
      <w:r w:rsidRPr="00314376">
        <w:rPr>
          <w:rFonts w:eastAsia="Times New Roman"/>
          <w:lang w:val="es-ES" w:eastAsia="es-ES_tradnl"/>
        </w:rPr>
        <w:t xml:space="preserve"> acuñado </w:t>
      </w:r>
      <w:r>
        <w:rPr>
          <w:rFonts w:eastAsia="Times New Roman"/>
          <w:lang w:val="es-ES" w:eastAsia="es-ES_tradnl"/>
        </w:rPr>
        <w:t xml:space="preserve">por primera vez </w:t>
      </w:r>
      <w:r w:rsidRPr="00314376">
        <w:rPr>
          <w:rFonts w:eastAsia="Times New Roman"/>
          <w:lang w:val="es-ES" w:eastAsia="es-ES_tradnl"/>
        </w:rPr>
        <w:t xml:space="preserve">por el erudito húngaro K.M. </w:t>
      </w:r>
      <w:proofErr w:type="spellStart"/>
      <w:r w:rsidRPr="00314376">
        <w:rPr>
          <w:rFonts w:eastAsia="Times New Roman"/>
          <w:lang w:val="es-ES" w:eastAsia="es-ES_tradnl"/>
        </w:rPr>
        <w:t>Kertbeny</w:t>
      </w:r>
      <w:proofErr w:type="spellEnd"/>
      <w:r w:rsidRPr="00314376">
        <w:rPr>
          <w:rFonts w:eastAsia="Times New Roman"/>
          <w:lang w:val="es-ES" w:eastAsia="es-ES_tradnl"/>
        </w:rPr>
        <w:t xml:space="preserve"> en 1869 para designa a una persona, hombre o mujer, que siente una atracción erótica y/o afectiva exclusiva o prevalente</w:t>
      </w:r>
      <w:r w:rsidR="00454E79">
        <w:rPr>
          <w:rFonts w:eastAsia="Times New Roman"/>
          <w:lang w:val="es-ES" w:eastAsia="es-ES_tradnl"/>
        </w:rPr>
        <w:t xml:space="preserve"> por personas del mismo sexo</w:t>
      </w:r>
      <w:r w:rsidR="00DC1D60">
        <w:rPr>
          <w:rStyle w:val="Refdenotaalpie"/>
          <w:rFonts w:eastAsia="Times New Roman"/>
          <w:lang w:val="es-ES" w:eastAsia="es-ES_tradnl"/>
        </w:rPr>
        <w:footnoteReference w:id="4"/>
      </w:r>
      <w:r w:rsidRPr="00314376">
        <w:rPr>
          <w:rFonts w:eastAsia="Times New Roman"/>
          <w:lang w:val="es-ES" w:eastAsia="es-ES_tradnl"/>
        </w:rPr>
        <w:t>. Por ello, no podemos atribuir a San Pablo y a los hagiógrafos una comprensión de la homosexualidad similar a la nuestra ya que no piensan en la orientación sexual en términos binarios, sino que asumen que existe un instinto sexual natural en todas las personas que lleva a la unión fértil y que algunas personas, por diversas razones, realizan actos sexuales con personas del mismo sexo.</w:t>
      </w:r>
      <w:r w:rsidR="000856D7">
        <w:rPr>
          <w:rStyle w:val="Refdenotaalpie"/>
          <w:rFonts w:eastAsia="Times New Roman"/>
          <w:lang w:val="es-ES" w:eastAsia="es-ES_tradnl"/>
        </w:rPr>
        <w:footnoteReference w:id="5"/>
      </w:r>
      <w:r w:rsidRPr="00314376">
        <w:rPr>
          <w:rFonts w:eastAsia="Times New Roman"/>
          <w:lang w:val="es-ES" w:eastAsia="es-ES_tradnl"/>
        </w:rPr>
        <w:t xml:space="preserve"> Por ello, no podemos buscar en los textos una condena expresa de la homosexualidad, –aunque si encontramos condenas expresas a los actos homosexuales–, tal y como pretenden algunos autores para justificar que la falta de condena es una aceptación de este comportamiento. </w:t>
      </w:r>
    </w:p>
    <w:p w:rsidR="00840414" w:rsidRPr="00314376" w:rsidRDefault="00840414" w:rsidP="00840414">
      <w:pPr>
        <w:rPr>
          <w:rFonts w:eastAsia="Times New Roman"/>
          <w:lang w:val="es-ES" w:eastAsia="es-ES_tradnl"/>
        </w:rPr>
      </w:pPr>
      <w:r w:rsidRPr="00314376">
        <w:rPr>
          <w:rFonts w:eastAsia="Times New Roman"/>
          <w:lang w:val="es-ES" w:eastAsia="es-ES_tradnl"/>
        </w:rPr>
        <w:t xml:space="preserve">En estos dos textos la clave interpretativa desde el punto de vista de la homosexualidad está en los términos subrayados </w:t>
      </w:r>
      <w:proofErr w:type="spellStart"/>
      <w:r w:rsidRPr="00314376">
        <w:rPr>
          <w:rFonts w:eastAsia="Times New Roman"/>
          <w:b/>
          <w:bCs/>
          <w:i/>
          <w:iCs/>
          <w:lang w:val="es-ES" w:eastAsia="es-ES_tradnl"/>
        </w:rPr>
        <w:t>malakòi</w:t>
      </w:r>
      <w:proofErr w:type="spellEnd"/>
      <w:r w:rsidRPr="00314376">
        <w:rPr>
          <w:rFonts w:eastAsia="Times New Roman"/>
          <w:lang w:val="es-ES" w:eastAsia="es-ES_tradnl"/>
        </w:rPr>
        <w:t xml:space="preserve"> y </w:t>
      </w:r>
      <w:proofErr w:type="spellStart"/>
      <w:r w:rsidRPr="00314376">
        <w:rPr>
          <w:rFonts w:eastAsia="Times New Roman"/>
          <w:b/>
          <w:bCs/>
          <w:i/>
          <w:iCs/>
          <w:lang w:val="es-ES" w:eastAsia="es-ES_tradnl"/>
        </w:rPr>
        <w:t>Arsenokòitai</w:t>
      </w:r>
      <w:proofErr w:type="spellEnd"/>
      <w:r w:rsidRPr="00314376">
        <w:rPr>
          <w:rFonts w:eastAsia="Times New Roman"/>
          <w:lang w:val="es-ES" w:eastAsia="es-ES_tradnl"/>
        </w:rPr>
        <w:t>, que son poco empleados en la Biblia y para los que los estudiosos emplean otros textos</w:t>
      </w:r>
      <w:r w:rsidR="00153EDC">
        <w:rPr>
          <w:rFonts w:eastAsia="Times New Roman"/>
          <w:lang w:val="es-ES" w:eastAsia="es-ES_tradnl"/>
        </w:rPr>
        <w:t xml:space="preserve"> </w:t>
      </w:r>
      <w:r w:rsidR="00A15C9C">
        <w:rPr>
          <w:rFonts w:eastAsia="Times New Roman"/>
          <w:lang w:val="es-ES" w:eastAsia="es-ES_tradnl"/>
        </w:rPr>
        <w:t>contemporáneos</w:t>
      </w:r>
      <w:r w:rsidR="00891FFF">
        <w:rPr>
          <w:rFonts w:eastAsia="Times New Roman"/>
          <w:lang w:val="es-ES" w:eastAsia="es-ES_tradnl"/>
        </w:rPr>
        <w:t xml:space="preserve"> en griego, la traducción de la Vulgata y de los textos en hebreo del AT</w:t>
      </w:r>
      <w:r w:rsidRPr="00314376">
        <w:rPr>
          <w:rFonts w:eastAsia="Times New Roman"/>
          <w:lang w:val="es-ES" w:eastAsia="es-ES_tradnl"/>
        </w:rPr>
        <w:t xml:space="preserve"> para poder interpretar correctamente el significado con el que lo emplea el auto</w:t>
      </w:r>
      <w:r w:rsidR="00891FFF">
        <w:rPr>
          <w:rFonts w:eastAsia="Times New Roman"/>
          <w:lang w:val="es-ES" w:eastAsia="es-ES_tradnl"/>
        </w:rPr>
        <w:t>r</w:t>
      </w:r>
      <w:r w:rsidRPr="00314376">
        <w:rPr>
          <w:rFonts w:eastAsia="Times New Roman"/>
          <w:lang w:val="es-ES" w:eastAsia="es-ES_tradnl"/>
        </w:rPr>
        <w:t xml:space="preserve"> de las cartas. </w:t>
      </w:r>
    </w:p>
    <w:p w:rsidR="00840414" w:rsidRPr="00314376" w:rsidRDefault="00891FFF" w:rsidP="00840414">
      <w:pPr>
        <w:rPr>
          <w:rFonts w:eastAsia="Times New Roman"/>
          <w:lang w:val="es-ES" w:eastAsia="es-ES_tradnl"/>
        </w:rPr>
      </w:pPr>
      <w:r>
        <w:rPr>
          <w:rFonts w:eastAsia="Times New Roman"/>
          <w:lang w:val="es-ES" w:eastAsia="es-ES_tradnl"/>
        </w:rPr>
        <w:t>Hay que tener en mente que e</w:t>
      </w:r>
      <w:r w:rsidR="00840414" w:rsidRPr="00314376">
        <w:rPr>
          <w:rFonts w:eastAsia="Times New Roman"/>
          <w:lang w:val="es-ES" w:eastAsia="es-ES_tradnl"/>
        </w:rPr>
        <w:t xml:space="preserve">l verdadero problema de </w:t>
      </w:r>
      <w:r w:rsidR="00FF669F">
        <w:rPr>
          <w:rFonts w:eastAsia="Times New Roman"/>
          <w:lang w:val="es-ES" w:eastAsia="es-ES_tradnl"/>
        </w:rPr>
        <w:t>estas dos palabras</w:t>
      </w:r>
      <w:r w:rsidR="00840414" w:rsidRPr="00314376">
        <w:rPr>
          <w:rFonts w:eastAsia="Times New Roman"/>
          <w:lang w:val="es-ES" w:eastAsia="es-ES_tradnl"/>
        </w:rPr>
        <w:t xml:space="preserve"> está en la condena final qué hace san Pablo en 1Cor 6, 10, que determina que aquellos que incurran en estos vicios no “</w:t>
      </w:r>
      <w:r w:rsidR="00840414" w:rsidRPr="00314376">
        <w:rPr>
          <w:rFonts w:eastAsia="Times New Roman"/>
          <w:i/>
          <w:lang w:val="es-ES" w:eastAsia="es-ES_tradnl"/>
        </w:rPr>
        <w:t>heredarán el Reino de Dios</w:t>
      </w:r>
      <w:r w:rsidR="00840414" w:rsidRPr="00314376">
        <w:rPr>
          <w:rFonts w:eastAsia="Times New Roman"/>
          <w:lang w:val="es-ES" w:eastAsia="es-ES_tradnl"/>
        </w:rPr>
        <w:t xml:space="preserve">”, y que en </w:t>
      </w:r>
      <w:r>
        <w:rPr>
          <w:rFonts w:eastAsia="Times New Roman"/>
          <w:lang w:val="es-ES" w:eastAsia="es-ES_tradnl"/>
        </w:rPr>
        <w:t>1</w:t>
      </w:r>
      <w:r w:rsidR="00840414" w:rsidRPr="00314376">
        <w:rPr>
          <w:rFonts w:eastAsia="Times New Roman"/>
          <w:lang w:val="es-ES" w:eastAsia="es-ES_tradnl"/>
        </w:rPr>
        <w:t>Tim</w:t>
      </w:r>
      <w:r w:rsidR="00FF669F">
        <w:rPr>
          <w:rFonts w:eastAsia="Times New Roman"/>
          <w:lang w:val="es-ES" w:eastAsia="es-ES_tradnl"/>
        </w:rPr>
        <w:t xml:space="preserve"> 1, 10</w:t>
      </w:r>
      <w:r w:rsidR="00840414" w:rsidRPr="00314376">
        <w:rPr>
          <w:rFonts w:eastAsia="Times New Roman"/>
          <w:lang w:val="es-ES" w:eastAsia="es-ES_tradnl"/>
        </w:rPr>
        <w:t xml:space="preserve"> se cita como uno de las actitudes de aquellos que han de temer de la Ley y que están contra la “</w:t>
      </w:r>
      <w:r w:rsidR="00840414" w:rsidRPr="00314376">
        <w:rPr>
          <w:rFonts w:eastAsia="Times New Roman"/>
          <w:i/>
          <w:lang w:val="es-ES" w:eastAsia="es-ES_tradnl"/>
        </w:rPr>
        <w:t>sana doctrina.</w:t>
      </w:r>
      <w:r w:rsidR="00840414" w:rsidRPr="00314376">
        <w:rPr>
          <w:rFonts w:eastAsia="Times New Roman"/>
          <w:lang w:val="es-ES" w:eastAsia="es-ES_tradnl"/>
        </w:rPr>
        <w:t xml:space="preserve">” estas condenas son las que han llevado a poner el foco en ellas, puesto que, </w:t>
      </w:r>
      <w:r w:rsidR="00FF669F">
        <w:rPr>
          <w:rFonts w:eastAsia="Times New Roman"/>
          <w:lang w:val="es-ES" w:eastAsia="es-ES_tradnl"/>
        </w:rPr>
        <w:t>de cómo se</w:t>
      </w:r>
      <w:r w:rsidR="00840414" w:rsidRPr="00314376">
        <w:rPr>
          <w:rFonts w:eastAsia="Times New Roman"/>
          <w:lang w:val="es-ES" w:eastAsia="es-ES_tradnl"/>
        </w:rPr>
        <w:t xml:space="preserve"> interprete</w:t>
      </w:r>
      <w:r w:rsidR="00FF669F">
        <w:rPr>
          <w:rFonts w:eastAsia="Times New Roman"/>
          <w:lang w:val="es-ES" w:eastAsia="es-ES_tradnl"/>
        </w:rPr>
        <w:t>, se puede reconocer o negar una condena de la homosexualidad.</w:t>
      </w:r>
    </w:p>
    <w:tbl>
      <w:tblPr>
        <w:tblStyle w:val="Tablaconcuadrcula"/>
        <w:tblpPr w:leftFromText="141" w:rightFromText="141" w:vertAnchor="text" w:horzAnchor="margin" w:tblpY="33"/>
        <w:tblW w:w="9776" w:type="dxa"/>
        <w:tblLook w:val="04A0" w:firstRow="1" w:lastRow="0" w:firstColumn="1" w:lastColumn="0" w:noHBand="0" w:noVBand="1"/>
      </w:tblPr>
      <w:tblGrid>
        <w:gridCol w:w="1271"/>
        <w:gridCol w:w="1276"/>
        <w:gridCol w:w="7229"/>
      </w:tblGrid>
      <w:tr w:rsidR="00FF669F" w:rsidRPr="00314376" w:rsidTr="002F48E7">
        <w:tc>
          <w:tcPr>
            <w:tcW w:w="1271" w:type="dxa"/>
          </w:tcPr>
          <w:p w:rsidR="00FF669F" w:rsidRPr="00314376" w:rsidRDefault="00FF669F" w:rsidP="00FF669F">
            <w:pPr>
              <w:ind w:firstLine="0"/>
              <w:jc w:val="center"/>
              <w:rPr>
                <w:rFonts w:eastAsia="Times New Roman" w:cs="Times New Roman"/>
                <w:b/>
                <w:sz w:val="20"/>
                <w:szCs w:val="24"/>
                <w:lang w:val="es-ES" w:eastAsia="es-ES_tradnl"/>
              </w:rPr>
            </w:pPr>
            <w:r w:rsidRPr="00314376">
              <w:rPr>
                <w:rFonts w:eastAsia="Times New Roman" w:cs="Times New Roman"/>
                <w:b/>
                <w:sz w:val="20"/>
                <w:szCs w:val="24"/>
                <w:lang w:val="es-ES" w:eastAsia="es-ES_tradnl"/>
              </w:rPr>
              <w:t>Griego</w:t>
            </w:r>
          </w:p>
        </w:tc>
        <w:tc>
          <w:tcPr>
            <w:tcW w:w="1276" w:type="dxa"/>
          </w:tcPr>
          <w:p w:rsidR="00FF669F" w:rsidRPr="00314376" w:rsidRDefault="00FF669F" w:rsidP="00FF669F">
            <w:pPr>
              <w:ind w:firstLine="0"/>
              <w:jc w:val="center"/>
              <w:rPr>
                <w:rFonts w:eastAsia="Times New Roman" w:cs="Times New Roman"/>
                <w:b/>
                <w:sz w:val="20"/>
                <w:szCs w:val="24"/>
                <w:lang w:val="es-ES" w:eastAsia="es-ES_tradnl"/>
              </w:rPr>
            </w:pPr>
            <w:r w:rsidRPr="00314376">
              <w:rPr>
                <w:rFonts w:eastAsia="Times New Roman" w:cs="Times New Roman"/>
                <w:b/>
                <w:sz w:val="20"/>
                <w:szCs w:val="24"/>
                <w:lang w:val="es-ES" w:eastAsia="es-ES_tradnl"/>
              </w:rPr>
              <w:t>Vulgata</w:t>
            </w:r>
          </w:p>
        </w:tc>
        <w:tc>
          <w:tcPr>
            <w:tcW w:w="7229" w:type="dxa"/>
          </w:tcPr>
          <w:p w:rsidR="00FF669F" w:rsidRPr="00314376" w:rsidRDefault="00FF669F" w:rsidP="00FF669F">
            <w:pPr>
              <w:ind w:firstLine="0"/>
              <w:jc w:val="center"/>
              <w:rPr>
                <w:rFonts w:eastAsia="Times New Roman" w:cs="Times New Roman"/>
                <w:b/>
                <w:sz w:val="20"/>
                <w:szCs w:val="24"/>
                <w:lang w:val="es-ES" w:eastAsia="es-ES_tradnl"/>
              </w:rPr>
            </w:pPr>
            <w:r w:rsidRPr="00314376">
              <w:rPr>
                <w:rFonts w:eastAsia="Times New Roman" w:cs="Times New Roman"/>
                <w:b/>
                <w:sz w:val="20"/>
                <w:szCs w:val="24"/>
                <w:lang w:val="es-ES" w:eastAsia="es-ES_tradnl"/>
              </w:rPr>
              <w:t>Castellano</w:t>
            </w:r>
          </w:p>
        </w:tc>
      </w:tr>
      <w:tr w:rsidR="00FF669F" w:rsidRPr="00314376" w:rsidTr="002F48E7">
        <w:tc>
          <w:tcPr>
            <w:tcW w:w="1271" w:type="dxa"/>
            <w:vAlign w:val="center"/>
          </w:tcPr>
          <w:p w:rsidR="00FF669F" w:rsidRPr="00314376" w:rsidRDefault="00FF669F" w:rsidP="00FF669F">
            <w:pPr>
              <w:ind w:firstLine="0"/>
              <w:jc w:val="left"/>
              <w:rPr>
                <w:rFonts w:eastAsia="Times New Roman" w:cs="Times New Roman"/>
                <w:sz w:val="20"/>
                <w:szCs w:val="24"/>
                <w:lang w:val="es-ES" w:eastAsia="es-ES_tradnl"/>
              </w:rPr>
            </w:pPr>
            <w:proofErr w:type="spellStart"/>
            <w:r w:rsidRPr="00314376">
              <w:rPr>
                <w:rFonts w:eastAsia="Times New Roman" w:cs="Arial"/>
                <w:b/>
                <w:i/>
                <w:color w:val="000000" w:themeColor="text1"/>
                <w:sz w:val="20"/>
                <w:szCs w:val="24"/>
                <w:lang w:val="es-ES" w:eastAsia="es-ES_tradnl"/>
              </w:rPr>
              <w:t>malakòi</w:t>
            </w:r>
            <w:proofErr w:type="spellEnd"/>
          </w:p>
        </w:tc>
        <w:tc>
          <w:tcPr>
            <w:tcW w:w="1276" w:type="dxa"/>
            <w:vAlign w:val="center"/>
          </w:tcPr>
          <w:p w:rsidR="00FF669F" w:rsidRPr="00314376" w:rsidRDefault="00FF669F" w:rsidP="002F48E7">
            <w:pPr>
              <w:ind w:firstLine="0"/>
              <w:jc w:val="left"/>
              <w:rPr>
                <w:rFonts w:eastAsia="Times New Roman" w:cs="Times New Roman"/>
                <w:sz w:val="20"/>
                <w:szCs w:val="24"/>
                <w:lang w:val="es-ES" w:eastAsia="es-ES_tradnl"/>
              </w:rPr>
            </w:pPr>
            <w:r w:rsidRPr="00314376">
              <w:rPr>
                <w:rFonts w:eastAsia="Times New Roman" w:cs="Arial"/>
                <w:i/>
                <w:color w:val="000000" w:themeColor="text1"/>
                <w:sz w:val="20"/>
                <w:szCs w:val="24"/>
                <w:lang w:val="es-ES" w:eastAsia="es-ES_tradnl"/>
              </w:rPr>
              <w:t>molles</w:t>
            </w:r>
          </w:p>
        </w:tc>
        <w:tc>
          <w:tcPr>
            <w:tcW w:w="7229" w:type="dxa"/>
          </w:tcPr>
          <w:p w:rsidR="00FF669F" w:rsidRPr="00891FFF" w:rsidRDefault="00FF669F" w:rsidP="00FF669F">
            <w:pPr>
              <w:ind w:firstLine="0"/>
              <w:jc w:val="left"/>
              <w:rPr>
                <w:rFonts w:eastAsia="Times New Roman" w:cs="Times New Roman"/>
                <w:sz w:val="20"/>
                <w:szCs w:val="24"/>
                <w:lang w:val="es-ES" w:eastAsia="es-ES_tradnl"/>
              </w:rPr>
            </w:pPr>
            <w:r w:rsidRPr="00314376">
              <w:rPr>
                <w:rFonts w:eastAsia="Times New Roman" w:cs="Arial"/>
                <w:color w:val="000000" w:themeColor="text1"/>
                <w:sz w:val="20"/>
                <w:szCs w:val="24"/>
                <w:lang w:val="es-ES" w:eastAsia="es-ES_tradnl"/>
              </w:rPr>
              <w:t xml:space="preserve">según se tome en sentido amplio o más restrictivo puede dar lugar a varias interpretaciones, pero que en lo que respecta al significado es, o puede ser: </w:t>
            </w:r>
            <w:r w:rsidRPr="00314376">
              <w:rPr>
                <w:rFonts w:eastAsia="Times New Roman" w:cs="Arial"/>
                <w:i/>
                <w:color w:val="000000" w:themeColor="text1"/>
                <w:sz w:val="20"/>
                <w:szCs w:val="24"/>
                <w:lang w:val="es-ES" w:eastAsia="es-ES_tradnl"/>
              </w:rPr>
              <w:t>blando</w:t>
            </w:r>
            <w:r w:rsidRPr="00314376">
              <w:rPr>
                <w:rFonts w:eastAsia="Times New Roman" w:cs="Arial"/>
                <w:color w:val="000000" w:themeColor="text1"/>
                <w:sz w:val="20"/>
                <w:szCs w:val="24"/>
                <w:lang w:val="es-ES" w:eastAsia="es-ES_tradnl"/>
              </w:rPr>
              <w:t xml:space="preserve">, </w:t>
            </w:r>
            <w:r w:rsidRPr="00314376">
              <w:rPr>
                <w:rFonts w:eastAsia="Times New Roman" w:cs="Arial"/>
                <w:i/>
                <w:color w:val="000000" w:themeColor="text1"/>
                <w:sz w:val="20"/>
                <w:szCs w:val="24"/>
                <w:lang w:val="es-ES" w:eastAsia="es-ES_tradnl"/>
              </w:rPr>
              <w:t>sedoso</w:t>
            </w:r>
            <w:r w:rsidRPr="00314376">
              <w:rPr>
                <w:rFonts w:eastAsia="Times New Roman" w:cs="Arial"/>
                <w:color w:val="000000" w:themeColor="text1"/>
                <w:sz w:val="20"/>
                <w:szCs w:val="24"/>
                <w:lang w:val="es-ES" w:eastAsia="es-ES_tradnl"/>
              </w:rPr>
              <w:t xml:space="preserve">, </w:t>
            </w:r>
            <w:r w:rsidRPr="00314376">
              <w:rPr>
                <w:rFonts w:eastAsia="Times New Roman" w:cs="Arial"/>
                <w:b/>
                <w:i/>
                <w:color w:val="000000" w:themeColor="text1"/>
                <w:sz w:val="20"/>
                <w:szCs w:val="24"/>
                <w:lang w:val="es-ES" w:eastAsia="es-ES_tradnl"/>
              </w:rPr>
              <w:t>delicado</w:t>
            </w:r>
            <w:r w:rsidRPr="00314376">
              <w:rPr>
                <w:rFonts w:eastAsia="Times New Roman" w:cs="Arial"/>
                <w:color w:val="000000" w:themeColor="text1"/>
                <w:sz w:val="20"/>
                <w:szCs w:val="24"/>
                <w:lang w:val="es-ES" w:eastAsia="es-ES_tradnl"/>
              </w:rPr>
              <w:t xml:space="preserve">; y, en cuanto referido al acto sexual, se puede interpretar </w:t>
            </w:r>
            <w:r w:rsidRPr="00314376">
              <w:rPr>
                <w:rFonts w:eastAsia="Times New Roman" w:cs="Arial"/>
                <w:i/>
                <w:color w:val="000000" w:themeColor="text1"/>
                <w:sz w:val="20"/>
                <w:szCs w:val="24"/>
                <w:lang w:val="es-ES" w:eastAsia="es-ES_tradnl"/>
              </w:rPr>
              <w:t>hombre de carácter muelle, libertino o licencioso</w:t>
            </w:r>
            <w:r w:rsidRPr="00314376">
              <w:rPr>
                <w:rFonts w:eastAsia="Times New Roman" w:cs="Arial"/>
                <w:color w:val="000000" w:themeColor="text1"/>
                <w:sz w:val="20"/>
                <w:szCs w:val="24"/>
                <w:lang w:val="es-ES" w:eastAsia="es-ES_tradnl"/>
              </w:rPr>
              <w:t xml:space="preserve"> y, en este sentido, algunas traducciones lo traducen como </w:t>
            </w:r>
            <w:r w:rsidRPr="00314376">
              <w:rPr>
                <w:rFonts w:eastAsia="Times New Roman" w:cs="Arial"/>
                <w:b/>
                <w:i/>
                <w:color w:val="000000" w:themeColor="text1"/>
                <w:sz w:val="20"/>
                <w:szCs w:val="24"/>
                <w:lang w:val="es-ES" w:eastAsia="es-ES_tradnl"/>
              </w:rPr>
              <w:t>afeminado</w:t>
            </w:r>
            <w:r w:rsidR="00891FFF">
              <w:rPr>
                <w:rFonts w:eastAsia="Times New Roman" w:cs="Arial"/>
                <w:color w:val="000000" w:themeColor="text1"/>
                <w:sz w:val="20"/>
                <w:szCs w:val="24"/>
                <w:lang w:val="es-ES" w:eastAsia="es-ES_tradnl"/>
              </w:rPr>
              <w:t xml:space="preserve">, aunque también se puede emplear para personas que tienen un excesivo cuidado en el aseo y vestido, hasta el punto de ser considerados </w:t>
            </w:r>
            <w:r w:rsidR="00891FFF">
              <w:rPr>
                <w:rFonts w:eastAsia="Times New Roman" w:cs="Arial"/>
                <w:i/>
                <w:color w:val="000000" w:themeColor="text1"/>
                <w:sz w:val="20"/>
                <w:szCs w:val="24"/>
                <w:lang w:val="es-ES" w:eastAsia="es-ES_tradnl"/>
              </w:rPr>
              <w:t>afeminados</w:t>
            </w:r>
            <w:r w:rsidR="00891FFF">
              <w:rPr>
                <w:rFonts w:eastAsia="Times New Roman" w:cs="Arial"/>
                <w:color w:val="000000" w:themeColor="text1"/>
                <w:sz w:val="20"/>
                <w:szCs w:val="24"/>
                <w:lang w:val="es-ES" w:eastAsia="es-ES_tradnl"/>
              </w:rPr>
              <w:t>.</w:t>
            </w:r>
          </w:p>
        </w:tc>
      </w:tr>
      <w:tr w:rsidR="00FF669F" w:rsidRPr="00314376" w:rsidTr="002F48E7">
        <w:tc>
          <w:tcPr>
            <w:tcW w:w="1271" w:type="dxa"/>
            <w:vAlign w:val="center"/>
          </w:tcPr>
          <w:p w:rsidR="00FF669F" w:rsidRPr="00314376" w:rsidRDefault="00FF669F" w:rsidP="00FF669F">
            <w:pPr>
              <w:ind w:firstLine="0"/>
              <w:jc w:val="left"/>
              <w:rPr>
                <w:rFonts w:eastAsia="Times New Roman" w:cs="Times New Roman"/>
                <w:sz w:val="20"/>
                <w:szCs w:val="24"/>
                <w:lang w:val="es-ES" w:eastAsia="es-ES_tradnl"/>
              </w:rPr>
            </w:pPr>
            <w:proofErr w:type="spellStart"/>
            <w:r w:rsidRPr="00314376">
              <w:rPr>
                <w:rFonts w:eastAsia="Times New Roman" w:cs="Arial"/>
                <w:b/>
                <w:i/>
                <w:color w:val="000000" w:themeColor="text1"/>
                <w:sz w:val="20"/>
                <w:szCs w:val="24"/>
                <w:lang w:val="es-ES" w:eastAsia="es-ES_tradnl"/>
              </w:rPr>
              <w:t>Arsenokòitai</w:t>
            </w:r>
            <w:proofErr w:type="spellEnd"/>
          </w:p>
        </w:tc>
        <w:tc>
          <w:tcPr>
            <w:tcW w:w="1276" w:type="dxa"/>
          </w:tcPr>
          <w:p w:rsidR="00FF669F" w:rsidRPr="00314376" w:rsidRDefault="00FF669F" w:rsidP="00FF669F">
            <w:pPr>
              <w:ind w:firstLine="0"/>
              <w:jc w:val="left"/>
              <w:rPr>
                <w:rFonts w:eastAsia="Times New Roman" w:cs="Times New Roman"/>
                <w:sz w:val="20"/>
                <w:szCs w:val="24"/>
                <w:lang w:val="es-ES" w:eastAsia="es-ES_tradnl"/>
              </w:rPr>
            </w:pPr>
            <w:proofErr w:type="spellStart"/>
            <w:r w:rsidRPr="00314376">
              <w:rPr>
                <w:rFonts w:eastAsia="Times New Roman" w:cs="Arial"/>
                <w:i/>
                <w:color w:val="000000" w:themeColor="text1"/>
                <w:sz w:val="20"/>
                <w:szCs w:val="24"/>
                <w:lang w:val="es-ES" w:eastAsia="es-ES_tradnl"/>
              </w:rPr>
              <w:t>masculorum</w:t>
            </w:r>
            <w:proofErr w:type="spellEnd"/>
            <w:r w:rsidRPr="00314376">
              <w:rPr>
                <w:rFonts w:eastAsia="Times New Roman" w:cs="Arial"/>
                <w:i/>
                <w:color w:val="000000" w:themeColor="text1"/>
                <w:sz w:val="20"/>
                <w:szCs w:val="24"/>
                <w:lang w:val="es-ES" w:eastAsia="es-ES_tradnl"/>
              </w:rPr>
              <w:t xml:space="preserve"> </w:t>
            </w:r>
            <w:proofErr w:type="spellStart"/>
            <w:r w:rsidRPr="00314376">
              <w:rPr>
                <w:rFonts w:eastAsia="Times New Roman" w:cs="Arial"/>
                <w:i/>
                <w:color w:val="000000" w:themeColor="text1"/>
                <w:sz w:val="20"/>
                <w:szCs w:val="24"/>
                <w:lang w:val="es-ES" w:eastAsia="es-ES_tradnl"/>
              </w:rPr>
              <w:t>concubitores</w:t>
            </w:r>
            <w:proofErr w:type="spellEnd"/>
          </w:p>
        </w:tc>
        <w:tc>
          <w:tcPr>
            <w:tcW w:w="7229" w:type="dxa"/>
          </w:tcPr>
          <w:p w:rsidR="00FF669F" w:rsidRPr="00314376" w:rsidRDefault="00FF669F" w:rsidP="00FF669F">
            <w:pPr>
              <w:ind w:firstLine="0"/>
              <w:jc w:val="left"/>
              <w:rPr>
                <w:rFonts w:eastAsia="Times New Roman" w:cs="Times New Roman"/>
                <w:sz w:val="20"/>
                <w:szCs w:val="24"/>
                <w:lang w:val="es-ES" w:eastAsia="es-ES_tradnl"/>
              </w:rPr>
            </w:pPr>
            <w:r w:rsidRPr="00314376">
              <w:rPr>
                <w:rFonts w:eastAsia="Times New Roman" w:cs="Arial"/>
                <w:color w:val="000000" w:themeColor="text1"/>
                <w:sz w:val="20"/>
                <w:szCs w:val="24"/>
                <w:lang w:val="es-ES" w:eastAsia="es-ES_tradnl"/>
              </w:rPr>
              <w:t xml:space="preserve">Palabra que une dos conceptos </w:t>
            </w:r>
            <w:proofErr w:type="spellStart"/>
            <w:r w:rsidRPr="00314376">
              <w:rPr>
                <w:rFonts w:eastAsia="Times New Roman" w:cs="Arial"/>
                <w:i/>
                <w:color w:val="000000" w:themeColor="text1"/>
                <w:sz w:val="20"/>
                <w:szCs w:val="24"/>
                <w:lang w:val="es-ES" w:eastAsia="es-ES_tradnl"/>
              </w:rPr>
              <w:t>arsen</w:t>
            </w:r>
            <w:proofErr w:type="spellEnd"/>
            <w:r w:rsidRPr="00314376">
              <w:rPr>
                <w:rFonts w:eastAsia="Times New Roman" w:cs="Arial"/>
                <w:color w:val="000000" w:themeColor="text1"/>
                <w:sz w:val="20"/>
                <w:szCs w:val="24"/>
                <w:lang w:val="es-ES" w:eastAsia="es-ES_tradnl"/>
              </w:rPr>
              <w:t xml:space="preserve">: varón, y </w:t>
            </w:r>
            <w:proofErr w:type="spellStart"/>
            <w:r w:rsidRPr="00314376">
              <w:rPr>
                <w:rFonts w:eastAsia="Times New Roman" w:cs="Arial"/>
                <w:i/>
                <w:color w:val="000000" w:themeColor="text1"/>
                <w:sz w:val="20"/>
                <w:szCs w:val="24"/>
                <w:lang w:val="es-ES" w:eastAsia="es-ES_tradnl"/>
              </w:rPr>
              <w:t>keisthai</w:t>
            </w:r>
            <w:proofErr w:type="spellEnd"/>
            <w:r w:rsidRPr="00314376">
              <w:rPr>
                <w:rFonts w:eastAsia="Times New Roman" w:cs="Arial"/>
                <w:color w:val="000000" w:themeColor="text1"/>
                <w:sz w:val="20"/>
                <w:szCs w:val="24"/>
                <w:lang w:val="es-ES" w:eastAsia="es-ES_tradnl"/>
              </w:rPr>
              <w:t xml:space="preserve">: estar tumbado, lo que lleva a traducir por </w:t>
            </w:r>
            <w:r w:rsidRPr="00314376">
              <w:rPr>
                <w:rFonts w:eastAsia="Times New Roman" w:cs="Arial"/>
                <w:b/>
                <w:i/>
                <w:color w:val="000000" w:themeColor="text1"/>
                <w:sz w:val="20"/>
                <w:szCs w:val="24"/>
                <w:lang w:val="es-ES" w:eastAsia="es-ES_tradnl"/>
              </w:rPr>
              <w:t>estar acostado con otro hombre</w:t>
            </w:r>
            <w:r w:rsidRPr="00314376">
              <w:rPr>
                <w:rFonts w:eastAsia="Times New Roman" w:cs="Arial"/>
                <w:color w:val="000000" w:themeColor="text1"/>
                <w:sz w:val="20"/>
                <w:szCs w:val="24"/>
                <w:lang w:val="es-ES" w:eastAsia="es-ES_tradnl"/>
              </w:rPr>
              <w:t>.</w:t>
            </w:r>
          </w:p>
        </w:tc>
      </w:tr>
    </w:tbl>
    <w:p w:rsidR="00FF669F" w:rsidRDefault="00FF669F" w:rsidP="00FF669F">
      <w:pPr>
        <w:rPr>
          <w:lang w:val="es-ES" w:eastAsia="es-ES_tradnl"/>
        </w:rPr>
      </w:pPr>
      <w:r>
        <w:rPr>
          <w:rFonts w:eastAsia="Times New Roman"/>
          <w:lang w:val="es-ES" w:eastAsia="es-ES_tradnl"/>
        </w:rPr>
        <w:t>Que la traducción no es sencilla lo corrobora que hay una gran variedad de traducciones en</w:t>
      </w:r>
      <w:r w:rsidR="00891FFF">
        <w:rPr>
          <w:rFonts w:eastAsia="Times New Roman"/>
          <w:lang w:val="es-ES" w:eastAsia="es-ES_tradnl"/>
        </w:rPr>
        <w:t xml:space="preserve"> las diferentes</w:t>
      </w:r>
      <w:r>
        <w:rPr>
          <w:rFonts w:eastAsia="Times New Roman"/>
          <w:lang w:val="es-ES" w:eastAsia="es-ES_tradnl"/>
        </w:rPr>
        <w:t xml:space="preserve"> lengua</w:t>
      </w:r>
      <w:r w:rsidR="00891FFF">
        <w:rPr>
          <w:rFonts w:eastAsia="Times New Roman"/>
          <w:lang w:val="es-ES" w:eastAsia="es-ES_tradnl"/>
        </w:rPr>
        <w:t>s</w:t>
      </w:r>
      <w:r>
        <w:rPr>
          <w:rFonts w:eastAsia="Times New Roman"/>
          <w:lang w:val="es-ES" w:eastAsia="es-ES_tradnl"/>
        </w:rPr>
        <w:t xml:space="preserve"> vernácula</w:t>
      </w:r>
      <w:r w:rsidR="00891FFF">
        <w:rPr>
          <w:rFonts w:eastAsia="Times New Roman"/>
          <w:lang w:val="es-ES" w:eastAsia="es-ES_tradnl"/>
        </w:rPr>
        <w:t>s</w:t>
      </w:r>
      <w:r w:rsidR="005248DC">
        <w:rPr>
          <w:rStyle w:val="Refdenotaalpie"/>
          <w:rFonts w:eastAsia="Times New Roman"/>
          <w:lang w:val="es-ES" w:eastAsia="es-ES_tradnl"/>
        </w:rPr>
        <w:footnoteReference w:id="6"/>
      </w:r>
      <w:r w:rsidR="00840414" w:rsidRPr="00314376">
        <w:rPr>
          <w:rFonts w:eastAsia="Times New Roman"/>
          <w:lang w:val="es-ES" w:eastAsia="es-ES_tradnl"/>
        </w:rPr>
        <w:t>.</w:t>
      </w:r>
      <w:r>
        <w:rPr>
          <w:rFonts w:eastAsia="Times New Roman"/>
          <w:lang w:val="es-ES" w:eastAsia="es-ES_tradnl"/>
        </w:rPr>
        <w:t xml:space="preserve"> </w:t>
      </w:r>
      <w:r w:rsidR="00840414" w:rsidRPr="00314376">
        <w:rPr>
          <w:lang w:val="es-ES" w:eastAsia="es-ES_tradnl"/>
        </w:rPr>
        <w:t>Si</w:t>
      </w:r>
      <w:r>
        <w:rPr>
          <w:lang w:val="es-ES" w:eastAsia="es-ES_tradnl"/>
        </w:rPr>
        <w:t>n embargo,</w:t>
      </w:r>
      <w:r w:rsidR="00840414" w:rsidRPr="00314376">
        <w:rPr>
          <w:lang w:val="es-ES" w:eastAsia="es-ES_tradnl"/>
        </w:rPr>
        <w:t xml:space="preserve"> el significado —tanto en sentido amplio como en sentido estricto— no genera demasiada controversia</w:t>
      </w:r>
      <w:r>
        <w:rPr>
          <w:lang w:val="es-ES" w:eastAsia="es-ES_tradnl"/>
        </w:rPr>
        <w:t xml:space="preserve"> entre los biblistas. Lo que sí</w:t>
      </w:r>
      <w:r w:rsidR="00840414" w:rsidRPr="00314376">
        <w:rPr>
          <w:lang w:val="es-ES" w:eastAsia="es-ES_tradnl"/>
        </w:rPr>
        <w:t xml:space="preserve"> genera</w:t>
      </w:r>
      <w:r>
        <w:rPr>
          <w:lang w:val="es-ES" w:eastAsia="es-ES_tradnl"/>
        </w:rPr>
        <w:t xml:space="preserve"> </w:t>
      </w:r>
      <w:r w:rsidR="00680E93">
        <w:rPr>
          <w:lang w:val="es-ES" w:eastAsia="es-ES_tradnl"/>
        </w:rPr>
        <w:t>discusión</w:t>
      </w:r>
      <w:r>
        <w:rPr>
          <w:lang w:val="es-ES" w:eastAsia="es-ES_tradnl"/>
        </w:rPr>
        <w:t xml:space="preserve"> es</w:t>
      </w:r>
      <w:r w:rsidR="00840414" w:rsidRPr="00314376">
        <w:rPr>
          <w:lang w:val="es-ES" w:eastAsia="es-ES_tradnl"/>
        </w:rPr>
        <w:t xml:space="preserve"> la decisión de optar por una u otra traducción acudiendo al modo en que </w:t>
      </w:r>
      <w:r w:rsidR="00840414" w:rsidRPr="00314376">
        <w:rPr>
          <w:i/>
          <w:lang w:val="es-ES" w:eastAsia="es-ES_tradnl"/>
        </w:rPr>
        <w:t xml:space="preserve">se debe </w:t>
      </w:r>
      <w:r w:rsidR="00840414" w:rsidRPr="00314376">
        <w:rPr>
          <w:lang w:val="es-ES" w:eastAsia="es-ES_tradnl"/>
        </w:rPr>
        <w:t xml:space="preserve">entender qué quería decir el autor cuando emplea estos términos. </w:t>
      </w:r>
    </w:p>
    <w:p w:rsidR="00840414" w:rsidRPr="00FF669F" w:rsidRDefault="00FF669F" w:rsidP="00FF669F">
      <w:pPr>
        <w:rPr>
          <w:rFonts w:eastAsia="Times New Roman"/>
          <w:lang w:val="es-ES" w:eastAsia="es-ES_tradnl"/>
        </w:rPr>
      </w:pPr>
      <w:r>
        <w:rPr>
          <w:lang w:val="es-ES" w:eastAsia="es-ES_tradnl"/>
        </w:rPr>
        <w:t xml:space="preserve">Para seleccionar la traducción más adecuada a lo que quería trasmitir el autor, los </w:t>
      </w:r>
      <w:r w:rsidR="005248DC">
        <w:rPr>
          <w:lang w:val="es-ES" w:eastAsia="es-ES_tradnl"/>
        </w:rPr>
        <w:t>autores estudiados</w:t>
      </w:r>
      <w:r w:rsidR="00840414" w:rsidRPr="00314376">
        <w:rPr>
          <w:lang w:val="es-ES" w:eastAsia="es-ES_tradnl"/>
        </w:rPr>
        <w:t xml:space="preserve"> buscan l</w:t>
      </w:r>
      <w:r w:rsidR="00840414" w:rsidRPr="00314376">
        <w:rPr>
          <w:rFonts w:eastAsia="Times New Roman"/>
          <w:color w:val="000000" w:themeColor="text1"/>
          <w:szCs w:val="24"/>
          <w:lang w:val="es-ES" w:eastAsia="es-ES_tradnl"/>
        </w:rPr>
        <w:t xml:space="preserve">a clave en un </w:t>
      </w:r>
      <w:r w:rsidR="00FE1267">
        <w:rPr>
          <w:rFonts w:eastAsia="Times New Roman"/>
          <w:color w:val="000000" w:themeColor="text1"/>
          <w:szCs w:val="24"/>
          <w:lang w:val="es-ES" w:eastAsia="es-ES_tradnl"/>
        </w:rPr>
        <w:t>doble</w:t>
      </w:r>
      <w:r w:rsidR="00840414" w:rsidRPr="00314376">
        <w:rPr>
          <w:rFonts w:eastAsia="Times New Roman"/>
          <w:color w:val="000000" w:themeColor="text1"/>
          <w:szCs w:val="24"/>
          <w:lang w:val="es-ES" w:eastAsia="es-ES_tradnl"/>
        </w:rPr>
        <w:t xml:space="preserve"> ámbito: el contexto cultural respecto de las relaciones homosexuales</w:t>
      </w:r>
      <w:r w:rsidR="00FE1267">
        <w:rPr>
          <w:rFonts w:eastAsia="Times New Roman"/>
          <w:color w:val="000000" w:themeColor="text1"/>
          <w:szCs w:val="24"/>
          <w:lang w:val="es-ES" w:eastAsia="es-ES_tradnl"/>
        </w:rPr>
        <w:t xml:space="preserve"> y</w:t>
      </w:r>
      <w:r w:rsidR="00840414" w:rsidRPr="00314376">
        <w:rPr>
          <w:rFonts w:eastAsia="Times New Roman"/>
          <w:color w:val="000000" w:themeColor="text1"/>
          <w:szCs w:val="24"/>
          <w:lang w:val="es-ES" w:eastAsia="es-ES_tradnl"/>
        </w:rPr>
        <w:t xml:space="preserve"> </w:t>
      </w:r>
      <w:r w:rsidR="00C10B39">
        <w:rPr>
          <w:rFonts w:eastAsia="Times New Roman"/>
          <w:color w:val="000000" w:themeColor="text1"/>
          <w:szCs w:val="24"/>
          <w:lang w:val="es-ES" w:eastAsia="es-ES_tradnl"/>
        </w:rPr>
        <w:t>el contexto de la</w:t>
      </w:r>
      <w:r w:rsidR="00891FFF">
        <w:rPr>
          <w:rFonts w:eastAsia="Times New Roman"/>
          <w:color w:val="000000" w:themeColor="text1"/>
          <w:szCs w:val="24"/>
          <w:lang w:val="es-ES" w:eastAsia="es-ES_tradnl"/>
        </w:rPr>
        <w:t>s</w:t>
      </w:r>
      <w:r w:rsidR="00C10B39">
        <w:rPr>
          <w:rFonts w:eastAsia="Times New Roman"/>
          <w:color w:val="000000" w:themeColor="text1"/>
          <w:szCs w:val="24"/>
          <w:lang w:val="es-ES" w:eastAsia="es-ES_tradnl"/>
        </w:rPr>
        <w:t xml:space="preserve"> cartas,</w:t>
      </w:r>
      <w:r w:rsidR="00C10B39" w:rsidRPr="00314376">
        <w:rPr>
          <w:rFonts w:eastAsia="Times New Roman"/>
          <w:color w:val="000000" w:themeColor="text1"/>
          <w:szCs w:val="24"/>
          <w:lang w:val="es-ES" w:eastAsia="es-ES_tradnl"/>
        </w:rPr>
        <w:t xml:space="preserve"> tanto la interpretación del </w:t>
      </w:r>
      <w:r w:rsidR="00C10B39">
        <w:rPr>
          <w:rFonts w:eastAsia="Times New Roman"/>
          <w:color w:val="000000" w:themeColor="text1"/>
          <w:szCs w:val="24"/>
          <w:lang w:val="es-ES" w:eastAsia="es-ES_tradnl"/>
        </w:rPr>
        <w:t>dentro del texto,</w:t>
      </w:r>
      <w:r w:rsidR="00C10B39" w:rsidRPr="00314376">
        <w:rPr>
          <w:rFonts w:eastAsia="Times New Roman"/>
          <w:color w:val="000000" w:themeColor="text1"/>
          <w:szCs w:val="24"/>
          <w:lang w:val="es-ES" w:eastAsia="es-ES_tradnl"/>
        </w:rPr>
        <w:t xml:space="preserve"> como </w:t>
      </w:r>
      <w:r w:rsidR="00C10B39">
        <w:rPr>
          <w:rFonts w:eastAsia="Times New Roman"/>
          <w:color w:val="000000" w:themeColor="text1"/>
          <w:szCs w:val="24"/>
          <w:lang w:val="es-ES" w:eastAsia="es-ES_tradnl"/>
        </w:rPr>
        <w:t>la situación de</w:t>
      </w:r>
      <w:r w:rsidR="00C10B39" w:rsidRPr="00314376">
        <w:rPr>
          <w:rFonts w:eastAsia="Times New Roman"/>
          <w:color w:val="000000" w:themeColor="text1"/>
          <w:szCs w:val="24"/>
          <w:lang w:val="es-ES" w:eastAsia="es-ES_tradnl"/>
        </w:rPr>
        <w:t xml:space="preserve"> las comunidades cristianas a las que se dirige (comunidad corintia en 1Co, y la comunidad efesia en </w:t>
      </w:r>
      <w:r w:rsidR="00891FFF">
        <w:rPr>
          <w:rFonts w:eastAsia="Times New Roman"/>
          <w:color w:val="000000" w:themeColor="text1"/>
          <w:szCs w:val="24"/>
          <w:lang w:val="es-ES" w:eastAsia="es-ES_tradnl"/>
        </w:rPr>
        <w:t>1</w:t>
      </w:r>
      <w:r w:rsidR="00C10B39" w:rsidRPr="00314376">
        <w:rPr>
          <w:rFonts w:eastAsia="Times New Roman"/>
          <w:color w:val="000000" w:themeColor="text1"/>
          <w:szCs w:val="24"/>
          <w:lang w:val="es-ES" w:eastAsia="es-ES_tradnl"/>
        </w:rPr>
        <w:t>Tim)</w:t>
      </w:r>
    </w:p>
    <w:p w:rsidR="00840414" w:rsidRPr="00314376" w:rsidRDefault="00840414" w:rsidP="00840414">
      <w:pPr>
        <w:rPr>
          <w:rFonts w:eastAsia="Times New Roman"/>
          <w:color w:val="000000" w:themeColor="text1"/>
          <w:lang w:val="es-ES" w:eastAsia="es-ES_tradnl"/>
        </w:rPr>
      </w:pPr>
      <w:r w:rsidRPr="00314376">
        <w:rPr>
          <w:rFonts w:eastAsia="Times New Roman"/>
          <w:lang w:val="es-ES" w:eastAsia="es-ES_tradnl"/>
        </w:rPr>
        <w:lastRenderedPageBreak/>
        <w:t xml:space="preserve">Respecto a la situación de las relaciones homosexuales, como hemos visto en el apartado anterior, en el mundo grecolatino, los comportamientos homosexuales estaban permitidos en aquellos adultos que mantenían una posición </w:t>
      </w:r>
      <w:r w:rsidRPr="00314376">
        <w:rPr>
          <w:rFonts w:eastAsia="Times New Roman"/>
          <w:i/>
          <w:lang w:val="es-ES" w:eastAsia="es-ES_tradnl"/>
        </w:rPr>
        <w:t>activa o dominante</w:t>
      </w:r>
      <w:r w:rsidRPr="00314376">
        <w:rPr>
          <w:rFonts w:eastAsia="Times New Roman"/>
          <w:lang w:val="es-ES" w:eastAsia="es-ES_tradnl"/>
        </w:rPr>
        <w:t xml:space="preserve">. Con esto en mente, </w:t>
      </w:r>
      <w:r w:rsidR="009D4A9E">
        <w:rPr>
          <w:rFonts w:eastAsia="Times New Roman"/>
          <w:lang w:val="es-ES" w:eastAsia="es-ES_tradnl"/>
        </w:rPr>
        <w:t>Jean-</w:t>
      </w:r>
      <w:proofErr w:type="spellStart"/>
      <w:r w:rsidR="009D4A9E">
        <w:rPr>
          <w:rFonts w:eastAsia="Times New Roman"/>
          <w:lang w:val="es-ES" w:eastAsia="es-ES_tradnl"/>
        </w:rPr>
        <w:t>Baptiste</w:t>
      </w:r>
      <w:proofErr w:type="spellEnd"/>
      <w:r w:rsidR="009D4A9E">
        <w:rPr>
          <w:rFonts w:eastAsia="Times New Roman"/>
          <w:lang w:val="es-ES" w:eastAsia="es-ES_tradnl"/>
        </w:rPr>
        <w:t xml:space="preserve"> </w:t>
      </w:r>
      <w:proofErr w:type="spellStart"/>
      <w:r w:rsidR="009D4A9E">
        <w:rPr>
          <w:rFonts w:eastAsia="Times New Roman"/>
          <w:lang w:val="es-ES" w:eastAsia="es-ES_tradnl"/>
        </w:rPr>
        <w:t>Edart</w:t>
      </w:r>
      <w:proofErr w:type="spellEnd"/>
      <w:r w:rsidR="009D4A9E">
        <w:rPr>
          <w:rFonts w:eastAsia="Times New Roman"/>
          <w:lang w:val="es-ES" w:eastAsia="es-ES_tradnl"/>
        </w:rPr>
        <w:t xml:space="preserve">, coautor de </w:t>
      </w:r>
      <w:r w:rsidR="004B6B57">
        <w:rPr>
          <w:rFonts w:eastAsia="Times New Roman"/>
          <w:lang w:val="es-ES" w:eastAsia="es-ES_tradnl"/>
        </w:rPr>
        <w:t>“</w:t>
      </w:r>
      <w:r w:rsidR="004B6B57" w:rsidRPr="004B6B57">
        <w:rPr>
          <w:rFonts w:eastAsia="Times New Roman"/>
          <w:i/>
          <w:lang w:val="es-ES" w:eastAsia="es-ES_tradnl"/>
        </w:rPr>
        <w:t>Consideraciones sobre la homosexualidad en la Biblia</w:t>
      </w:r>
      <w:r w:rsidR="004B6B57">
        <w:rPr>
          <w:rFonts w:eastAsia="Times New Roman"/>
          <w:i/>
          <w:lang w:val="es-ES" w:eastAsia="es-ES_tradnl"/>
        </w:rPr>
        <w:t>”</w:t>
      </w:r>
      <w:r w:rsidR="000856D7">
        <w:rPr>
          <w:rStyle w:val="Refdenotaalpie"/>
          <w:rFonts w:eastAsia="Times New Roman"/>
          <w:i/>
          <w:lang w:val="es-ES" w:eastAsia="es-ES_tradnl"/>
        </w:rPr>
        <w:footnoteReference w:id="7"/>
      </w:r>
      <w:r w:rsidR="004B6B57">
        <w:rPr>
          <w:rFonts w:eastAsia="Times New Roman"/>
          <w:i/>
          <w:lang w:val="es-ES" w:eastAsia="es-ES_tradnl"/>
        </w:rPr>
        <w:t xml:space="preserve"> </w:t>
      </w:r>
      <w:r w:rsidRPr="00314376">
        <w:rPr>
          <w:rFonts w:eastAsia="Times New Roman"/>
          <w:lang w:val="es-ES" w:eastAsia="es-ES_tradnl"/>
        </w:rPr>
        <w:t>y</w:t>
      </w:r>
      <w:r w:rsidR="009D4A9E">
        <w:rPr>
          <w:rFonts w:eastAsia="Times New Roman"/>
          <w:lang w:val="es-ES" w:eastAsia="es-ES_tradnl"/>
        </w:rPr>
        <w:t xml:space="preserve"> reda</w:t>
      </w:r>
      <w:r w:rsidR="00891FFF">
        <w:rPr>
          <w:rFonts w:eastAsia="Times New Roman"/>
          <w:lang w:val="es-ES" w:eastAsia="es-ES_tradnl"/>
        </w:rPr>
        <w:t>c</w:t>
      </w:r>
      <w:r w:rsidR="009D4A9E">
        <w:rPr>
          <w:rFonts w:eastAsia="Times New Roman"/>
          <w:lang w:val="es-ES" w:eastAsia="es-ES_tradnl"/>
        </w:rPr>
        <w:t>tor de la parte tercera “</w:t>
      </w:r>
      <w:r w:rsidR="009D4A9E" w:rsidRPr="009D4A9E">
        <w:rPr>
          <w:rFonts w:eastAsia="Times New Roman"/>
          <w:i/>
          <w:lang w:val="es-ES" w:eastAsia="es-ES_tradnl"/>
        </w:rPr>
        <w:t>El Nuevo Testamento y la Homosexualidad”</w:t>
      </w:r>
      <w:r w:rsidRPr="00314376">
        <w:rPr>
          <w:rFonts w:eastAsia="Times New Roman"/>
          <w:lang w:val="es-ES" w:eastAsia="es-ES_tradnl"/>
        </w:rPr>
        <w:t xml:space="preserve"> </w:t>
      </w:r>
      <w:r w:rsidR="009D4A9E">
        <w:rPr>
          <w:rFonts w:eastAsia="Times New Roman"/>
          <w:lang w:val="es-ES" w:eastAsia="es-ES_tradnl"/>
        </w:rPr>
        <w:t xml:space="preserve">y </w:t>
      </w:r>
      <w:proofErr w:type="spellStart"/>
      <w:r w:rsidR="009D4A9E">
        <w:rPr>
          <w:rFonts w:eastAsia="Times New Roman"/>
          <w:lang w:val="es-ES" w:eastAsia="es-ES_tradnl"/>
        </w:rPr>
        <w:t>Vitaliano</w:t>
      </w:r>
      <w:proofErr w:type="spellEnd"/>
      <w:r w:rsidR="009D4A9E">
        <w:rPr>
          <w:rFonts w:eastAsia="Times New Roman"/>
          <w:lang w:val="es-ES" w:eastAsia="es-ES_tradnl"/>
        </w:rPr>
        <w:t xml:space="preserve"> </w:t>
      </w:r>
      <w:proofErr w:type="spellStart"/>
      <w:r w:rsidR="009D4A9E">
        <w:rPr>
          <w:rFonts w:eastAsia="Times New Roman"/>
          <w:lang w:val="es-ES" w:eastAsia="es-ES_tradnl"/>
        </w:rPr>
        <w:t>Mattioli</w:t>
      </w:r>
      <w:proofErr w:type="spellEnd"/>
      <w:r w:rsidR="009D4A9E">
        <w:rPr>
          <w:rFonts w:eastAsia="Times New Roman"/>
          <w:lang w:val="es-ES" w:eastAsia="es-ES_tradnl"/>
        </w:rPr>
        <w:t xml:space="preserve">, autor </w:t>
      </w:r>
      <w:r w:rsidR="004B6B57">
        <w:rPr>
          <w:rFonts w:eastAsia="Times New Roman"/>
          <w:lang w:val="es-ES" w:eastAsia="es-ES_tradnl"/>
        </w:rPr>
        <w:t>de “</w:t>
      </w:r>
      <w:proofErr w:type="spellStart"/>
      <w:r w:rsidR="004B6B57" w:rsidRPr="004B6B57">
        <w:rPr>
          <w:rFonts w:eastAsia="Times New Roman"/>
          <w:i/>
          <w:lang w:val="es-ES" w:eastAsia="es-ES_tradnl"/>
        </w:rPr>
        <w:t>Sessualità</w:t>
      </w:r>
      <w:proofErr w:type="spellEnd"/>
      <w:r w:rsidR="004B6B57" w:rsidRPr="004B6B57">
        <w:rPr>
          <w:rFonts w:eastAsia="Times New Roman"/>
          <w:i/>
          <w:lang w:val="es-ES" w:eastAsia="es-ES_tradnl"/>
        </w:rPr>
        <w:t xml:space="preserve">, matrimonio e </w:t>
      </w:r>
      <w:r w:rsidR="004B6B57">
        <w:rPr>
          <w:rFonts w:eastAsia="Times New Roman"/>
          <w:i/>
          <w:lang w:val="es-ES" w:eastAsia="es-ES_tradnl"/>
        </w:rPr>
        <w:t>familia”</w:t>
      </w:r>
      <w:r w:rsidR="000856D7">
        <w:rPr>
          <w:rStyle w:val="Refdenotaalpie"/>
          <w:rFonts w:eastAsia="Times New Roman"/>
          <w:i/>
          <w:lang w:val="es-ES" w:eastAsia="es-ES_tradnl"/>
        </w:rPr>
        <w:footnoteReference w:id="8"/>
      </w:r>
      <w:r w:rsidRPr="00314376">
        <w:rPr>
          <w:rFonts w:eastAsia="Times New Roman"/>
          <w:lang w:val="es-ES" w:eastAsia="es-ES_tradnl"/>
        </w:rPr>
        <w:t xml:space="preserve"> mantienen que, acudiendo solo a las posibilidades de traducción, y al empleo de estas palabras en otros pasajes de la Biblia y de textos contemporáneos, la traducción no queda clara</w:t>
      </w:r>
      <w:r w:rsidR="00C10B39">
        <w:rPr>
          <w:rFonts w:eastAsia="Times New Roman"/>
          <w:lang w:val="es-ES" w:eastAsia="es-ES_tradnl"/>
        </w:rPr>
        <w:t xml:space="preserve"> para </w:t>
      </w:r>
      <w:proofErr w:type="spellStart"/>
      <w:r w:rsidR="00C10B39" w:rsidRPr="00FE1267">
        <w:rPr>
          <w:rFonts w:eastAsia="Times New Roman" w:cs="Arial"/>
          <w:i/>
          <w:color w:val="000000" w:themeColor="text1"/>
          <w:szCs w:val="24"/>
          <w:lang w:val="es-ES" w:eastAsia="es-ES_tradnl"/>
        </w:rPr>
        <w:t>malakòi</w:t>
      </w:r>
      <w:proofErr w:type="spellEnd"/>
      <w:r w:rsidR="00C10B39" w:rsidRPr="00FE1267">
        <w:rPr>
          <w:rFonts w:eastAsia="Times New Roman" w:cs="Arial"/>
          <w:i/>
          <w:color w:val="000000" w:themeColor="text1"/>
          <w:szCs w:val="24"/>
          <w:lang w:val="es-ES" w:eastAsia="es-ES_tradnl"/>
        </w:rPr>
        <w:t xml:space="preserve">, </w:t>
      </w:r>
      <w:r w:rsidR="00C10B39" w:rsidRPr="00FE1267">
        <w:rPr>
          <w:rFonts w:eastAsia="Times New Roman" w:cs="Arial"/>
          <w:color w:val="000000" w:themeColor="text1"/>
          <w:szCs w:val="24"/>
          <w:lang w:val="es-ES" w:eastAsia="es-ES_tradnl"/>
        </w:rPr>
        <w:t>al menos con los datos que aporta la traducción únicamente</w:t>
      </w:r>
      <w:r w:rsidR="00FE1267">
        <w:rPr>
          <w:rFonts w:eastAsia="Times New Roman" w:cs="Arial"/>
          <w:color w:val="000000" w:themeColor="text1"/>
          <w:szCs w:val="24"/>
          <w:lang w:val="es-ES" w:eastAsia="es-ES_tradnl"/>
        </w:rPr>
        <w:t>;</w:t>
      </w:r>
      <w:r w:rsidR="00C10B39" w:rsidRPr="00FE1267">
        <w:rPr>
          <w:rFonts w:eastAsia="Times New Roman" w:cs="Arial"/>
          <w:color w:val="000000" w:themeColor="text1"/>
          <w:szCs w:val="24"/>
          <w:lang w:val="es-ES" w:eastAsia="es-ES_tradnl"/>
        </w:rPr>
        <w:t xml:space="preserve"> </w:t>
      </w:r>
      <w:r w:rsidR="00FE1267">
        <w:rPr>
          <w:rFonts w:eastAsia="Times New Roman" w:cs="Arial"/>
          <w:color w:val="000000" w:themeColor="text1"/>
          <w:szCs w:val="24"/>
          <w:lang w:val="es-ES" w:eastAsia="es-ES_tradnl"/>
        </w:rPr>
        <w:t>e</w:t>
      </w:r>
      <w:r w:rsidR="00C10B39" w:rsidRPr="00FE1267">
        <w:rPr>
          <w:rFonts w:eastAsia="Times New Roman" w:cs="Arial"/>
          <w:color w:val="000000" w:themeColor="text1"/>
          <w:szCs w:val="24"/>
          <w:lang w:val="es-ES" w:eastAsia="es-ES_tradnl"/>
        </w:rPr>
        <w:t xml:space="preserve">n cambio </w:t>
      </w:r>
      <w:r w:rsidR="00FE1267">
        <w:rPr>
          <w:rFonts w:eastAsia="Times New Roman" w:cs="Arial"/>
          <w:color w:val="000000" w:themeColor="text1"/>
          <w:szCs w:val="24"/>
          <w:lang w:val="es-ES" w:eastAsia="es-ES_tradnl"/>
        </w:rPr>
        <w:t>opinan que</w:t>
      </w:r>
      <w:r w:rsidR="00C10B39" w:rsidRPr="00FE1267">
        <w:rPr>
          <w:rFonts w:eastAsia="Times New Roman"/>
          <w:sz w:val="28"/>
          <w:lang w:val="es-ES" w:eastAsia="es-ES_tradnl"/>
        </w:rPr>
        <w:t xml:space="preserve"> </w:t>
      </w:r>
      <w:proofErr w:type="spellStart"/>
      <w:r w:rsidR="00C10B39" w:rsidRPr="00FE1267">
        <w:rPr>
          <w:rFonts w:eastAsia="Times New Roman" w:cs="Arial"/>
          <w:i/>
          <w:color w:val="000000" w:themeColor="text1"/>
          <w:szCs w:val="24"/>
          <w:lang w:val="es-ES" w:eastAsia="es-ES_tradnl"/>
        </w:rPr>
        <w:t>Arsenokòitai</w:t>
      </w:r>
      <w:proofErr w:type="spellEnd"/>
      <w:r w:rsidR="00C10B39" w:rsidRPr="00FE1267">
        <w:rPr>
          <w:rFonts w:eastAsia="Times New Roman" w:cs="Arial"/>
          <w:i/>
          <w:color w:val="000000" w:themeColor="text1"/>
          <w:szCs w:val="24"/>
          <w:lang w:val="es-ES" w:eastAsia="es-ES_tradnl"/>
        </w:rPr>
        <w:t xml:space="preserve"> </w:t>
      </w:r>
      <w:r w:rsidR="00C10B39" w:rsidRPr="00FE1267">
        <w:rPr>
          <w:rFonts w:eastAsia="Times New Roman" w:cs="Arial"/>
          <w:color w:val="000000" w:themeColor="text1"/>
          <w:szCs w:val="24"/>
          <w:lang w:val="es-ES" w:eastAsia="es-ES_tradnl"/>
        </w:rPr>
        <w:t xml:space="preserve">se refiere </w:t>
      </w:r>
      <w:r w:rsidR="00FE1267" w:rsidRPr="00FE1267">
        <w:rPr>
          <w:rFonts w:eastAsia="Times New Roman" w:cs="Arial"/>
          <w:color w:val="000000" w:themeColor="text1"/>
          <w:szCs w:val="24"/>
          <w:lang w:val="es-ES" w:eastAsia="es-ES_tradnl"/>
        </w:rPr>
        <w:t>directamente</w:t>
      </w:r>
      <w:r w:rsidR="00C10B39" w:rsidRPr="00FE1267">
        <w:rPr>
          <w:rFonts w:eastAsia="Times New Roman" w:cs="Arial"/>
          <w:color w:val="000000" w:themeColor="text1"/>
          <w:szCs w:val="24"/>
          <w:lang w:val="es-ES" w:eastAsia="es-ES_tradnl"/>
        </w:rPr>
        <w:t xml:space="preserve"> a las relaciones homosexuales entre dos hombres</w:t>
      </w:r>
      <w:r w:rsidR="00FE1267" w:rsidRPr="00FE1267">
        <w:rPr>
          <w:rFonts w:eastAsia="Times New Roman" w:cs="Arial"/>
          <w:color w:val="000000" w:themeColor="text1"/>
          <w:szCs w:val="24"/>
          <w:lang w:val="es-ES" w:eastAsia="es-ES_tradnl"/>
        </w:rPr>
        <w:t xml:space="preserve">. </w:t>
      </w:r>
      <w:r w:rsidR="00FE1267">
        <w:rPr>
          <w:rFonts w:eastAsia="Times New Roman" w:cs="Arial"/>
          <w:color w:val="000000" w:themeColor="text1"/>
          <w:szCs w:val="24"/>
          <w:lang w:val="es-ES" w:eastAsia="es-ES_tradnl"/>
        </w:rPr>
        <w:t>P</w:t>
      </w:r>
      <w:r w:rsidR="00C10B39" w:rsidRPr="00FE1267">
        <w:rPr>
          <w:rFonts w:eastAsia="Times New Roman" w:cs="Arial"/>
          <w:color w:val="000000" w:themeColor="text1"/>
          <w:szCs w:val="24"/>
          <w:lang w:val="es-ES" w:eastAsia="es-ES_tradnl"/>
        </w:rPr>
        <w:t xml:space="preserve">ara ellos hacen un paralelismo con la palabra </w:t>
      </w:r>
      <w:r w:rsidR="00FE1267" w:rsidRPr="00FE1267">
        <w:rPr>
          <w:rFonts w:eastAsia="Times New Roman" w:cs="Arial"/>
          <w:color w:val="000000" w:themeColor="text1"/>
          <w:szCs w:val="24"/>
          <w:lang w:val="es-ES" w:eastAsia="es-ES_tradnl"/>
        </w:rPr>
        <w:t>hebrea</w:t>
      </w:r>
      <w:r w:rsidR="00C10B39" w:rsidRPr="00FE1267">
        <w:rPr>
          <w:rFonts w:eastAsia="Times New Roman" w:cs="Arial"/>
          <w:color w:val="000000" w:themeColor="text1"/>
          <w:szCs w:val="24"/>
          <w:lang w:val="es-ES" w:eastAsia="es-ES_tradnl"/>
        </w:rPr>
        <w:t xml:space="preserve"> que empleaban los </w:t>
      </w:r>
      <w:r w:rsidR="00FE1267" w:rsidRPr="00FE1267">
        <w:rPr>
          <w:rFonts w:eastAsia="Times New Roman" w:cs="Arial"/>
          <w:color w:val="000000" w:themeColor="text1"/>
          <w:szCs w:val="24"/>
          <w:lang w:val="es-ES" w:eastAsia="es-ES_tradnl"/>
        </w:rPr>
        <w:t>rabinos</w:t>
      </w:r>
      <w:r w:rsidR="00C10B39" w:rsidRPr="00FE1267">
        <w:rPr>
          <w:rFonts w:eastAsia="Times New Roman" w:cs="Arial"/>
          <w:color w:val="000000" w:themeColor="text1"/>
          <w:szCs w:val="24"/>
          <w:lang w:val="es-ES" w:eastAsia="es-ES_tradnl"/>
        </w:rPr>
        <w:t xml:space="preserve"> </w:t>
      </w:r>
      <w:r w:rsidR="00FE1267" w:rsidRPr="00FE1267">
        <w:rPr>
          <w:rFonts w:eastAsia="Times New Roman" w:cs="Arial"/>
          <w:color w:val="000000" w:themeColor="text1"/>
          <w:szCs w:val="24"/>
          <w:lang w:val="es-ES" w:eastAsia="es-ES_tradnl"/>
        </w:rPr>
        <w:t>para</w:t>
      </w:r>
      <w:r w:rsidR="00C10B39" w:rsidRPr="00FE1267">
        <w:rPr>
          <w:rFonts w:eastAsia="Times New Roman" w:cs="Arial"/>
          <w:color w:val="000000" w:themeColor="text1"/>
          <w:szCs w:val="24"/>
          <w:lang w:val="es-ES" w:eastAsia="es-ES_tradnl"/>
        </w:rPr>
        <w:t xml:space="preserve"> hablar de relaciones homosexuales entre varones</w:t>
      </w:r>
      <w:r w:rsidR="00FE1267">
        <w:rPr>
          <w:rFonts w:eastAsia="Times New Roman" w:cs="Arial"/>
          <w:color w:val="000000" w:themeColor="text1"/>
          <w:szCs w:val="24"/>
          <w:lang w:val="es-ES" w:eastAsia="es-ES_tradnl"/>
        </w:rPr>
        <w:t>:</w:t>
      </w:r>
      <w:r w:rsidR="00C10B39" w:rsidRPr="00FE1267">
        <w:rPr>
          <w:rFonts w:eastAsia="Times New Roman" w:cs="Arial"/>
          <w:i/>
          <w:color w:val="000000" w:themeColor="text1"/>
          <w:szCs w:val="24"/>
          <w:lang w:val="es-ES" w:eastAsia="es-ES_tradnl"/>
        </w:rPr>
        <w:t xml:space="preserve"> </w:t>
      </w:r>
      <w:proofErr w:type="spellStart"/>
      <w:r w:rsidR="00C10B39" w:rsidRPr="00FE1267">
        <w:rPr>
          <w:rFonts w:eastAsia="Times New Roman" w:cs="Arial"/>
          <w:i/>
          <w:color w:val="000000" w:themeColor="text1"/>
          <w:szCs w:val="24"/>
          <w:lang w:val="es-ES" w:eastAsia="es-ES_tradnl"/>
        </w:rPr>
        <w:t>miskab</w:t>
      </w:r>
      <w:proofErr w:type="spellEnd"/>
      <w:r w:rsidR="00C10B39" w:rsidRPr="00FE1267">
        <w:rPr>
          <w:rFonts w:eastAsia="Times New Roman" w:cs="Arial"/>
          <w:i/>
          <w:color w:val="000000" w:themeColor="text1"/>
          <w:szCs w:val="24"/>
          <w:lang w:val="es-ES" w:eastAsia="es-ES_tradnl"/>
        </w:rPr>
        <w:t xml:space="preserve"> </w:t>
      </w:r>
      <w:proofErr w:type="spellStart"/>
      <w:r w:rsidR="00C10B39" w:rsidRPr="00FE1267">
        <w:rPr>
          <w:rFonts w:eastAsia="Times New Roman" w:cs="Arial"/>
          <w:i/>
          <w:color w:val="000000" w:themeColor="text1"/>
          <w:szCs w:val="24"/>
          <w:lang w:val="es-ES" w:eastAsia="es-ES_tradnl"/>
        </w:rPr>
        <w:t>zakur</w:t>
      </w:r>
      <w:proofErr w:type="spellEnd"/>
      <w:r w:rsidR="00C10B39" w:rsidRPr="00FE1267">
        <w:rPr>
          <w:rFonts w:eastAsia="Times New Roman" w:cs="Arial"/>
          <w:i/>
          <w:color w:val="000000" w:themeColor="text1"/>
          <w:szCs w:val="24"/>
          <w:lang w:val="es-ES" w:eastAsia="es-ES_tradnl"/>
        </w:rPr>
        <w:t xml:space="preserve">, </w:t>
      </w:r>
      <w:r w:rsidR="00C10B39" w:rsidRPr="00FE1267">
        <w:rPr>
          <w:rFonts w:eastAsia="Times New Roman" w:cs="Arial"/>
          <w:color w:val="000000" w:themeColor="text1"/>
          <w:szCs w:val="24"/>
          <w:lang w:val="es-ES" w:eastAsia="es-ES_tradnl"/>
        </w:rPr>
        <w:t>que</w:t>
      </w:r>
      <w:r w:rsidR="00FE1267" w:rsidRPr="00FE1267">
        <w:rPr>
          <w:rFonts w:eastAsia="Times New Roman" w:cs="Arial"/>
          <w:color w:val="000000" w:themeColor="text1"/>
          <w:szCs w:val="24"/>
          <w:lang w:val="es-ES" w:eastAsia="es-ES_tradnl"/>
        </w:rPr>
        <w:t xml:space="preserve"> se emplea en el Lev</w:t>
      </w:r>
      <w:r w:rsidR="00891FFF">
        <w:rPr>
          <w:rFonts w:eastAsia="Times New Roman" w:cs="Arial"/>
          <w:color w:val="000000" w:themeColor="text1"/>
          <w:szCs w:val="24"/>
          <w:lang w:val="es-ES" w:eastAsia="es-ES_tradnl"/>
        </w:rPr>
        <w:t>í</w:t>
      </w:r>
      <w:r w:rsidR="00FE1267" w:rsidRPr="00FE1267">
        <w:rPr>
          <w:rFonts w:eastAsia="Times New Roman" w:cs="Arial"/>
          <w:color w:val="000000" w:themeColor="text1"/>
          <w:szCs w:val="24"/>
          <w:lang w:val="es-ES" w:eastAsia="es-ES_tradnl"/>
        </w:rPr>
        <w:t>tico y que significa literalmente “</w:t>
      </w:r>
      <w:r w:rsidR="00FE1267" w:rsidRPr="00FE1267">
        <w:rPr>
          <w:rFonts w:eastAsia="Times New Roman" w:cs="Arial"/>
          <w:i/>
          <w:color w:val="000000" w:themeColor="text1"/>
          <w:szCs w:val="24"/>
          <w:lang w:val="es-ES" w:eastAsia="es-ES_tradnl"/>
        </w:rPr>
        <w:t>acostarse con un varón</w:t>
      </w:r>
      <w:r w:rsidR="00FE1267" w:rsidRPr="00FE1267">
        <w:rPr>
          <w:rFonts w:eastAsia="Times New Roman" w:cs="Arial"/>
          <w:color w:val="000000" w:themeColor="text1"/>
          <w:szCs w:val="24"/>
          <w:lang w:val="es-ES" w:eastAsia="es-ES_tradnl"/>
        </w:rPr>
        <w:t>”</w:t>
      </w:r>
      <w:r w:rsidR="00FE1267">
        <w:rPr>
          <w:rFonts w:eastAsia="Times New Roman" w:cs="Arial"/>
          <w:color w:val="000000" w:themeColor="text1"/>
          <w:szCs w:val="24"/>
          <w:lang w:val="es-ES" w:eastAsia="es-ES_tradnl"/>
        </w:rPr>
        <w:t xml:space="preserve"> y que además coincide con la traducción de la Vulgata </w:t>
      </w:r>
      <w:proofErr w:type="spellStart"/>
      <w:r w:rsidR="00FE1267" w:rsidRPr="00FE1267">
        <w:rPr>
          <w:rFonts w:eastAsia="Times New Roman" w:cs="Arial"/>
          <w:i/>
          <w:color w:val="000000" w:themeColor="text1"/>
          <w:szCs w:val="24"/>
          <w:lang w:val="es-ES" w:eastAsia="es-ES_tradnl"/>
        </w:rPr>
        <w:t>masculorum</w:t>
      </w:r>
      <w:proofErr w:type="spellEnd"/>
      <w:r w:rsidR="00FE1267" w:rsidRPr="00FE1267">
        <w:rPr>
          <w:rFonts w:eastAsia="Times New Roman" w:cs="Arial"/>
          <w:color w:val="000000" w:themeColor="text1"/>
          <w:szCs w:val="24"/>
          <w:lang w:val="es-ES" w:eastAsia="es-ES_tradnl"/>
        </w:rPr>
        <w:t xml:space="preserve"> </w:t>
      </w:r>
      <w:proofErr w:type="spellStart"/>
      <w:r w:rsidR="00FE1267" w:rsidRPr="00FE1267">
        <w:rPr>
          <w:rFonts w:eastAsia="Times New Roman" w:cs="Arial"/>
          <w:i/>
          <w:color w:val="000000" w:themeColor="text1"/>
          <w:szCs w:val="24"/>
          <w:lang w:val="es-ES" w:eastAsia="es-ES_tradnl"/>
        </w:rPr>
        <w:t>concubitores</w:t>
      </w:r>
      <w:proofErr w:type="spellEnd"/>
      <w:r w:rsidR="00FE1267">
        <w:rPr>
          <w:rFonts w:eastAsia="Times New Roman" w:cs="Arial"/>
          <w:i/>
          <w:color w:val="000000" w:themeColor="text1"/>
          <w:szCs w:val="24"/>
          <w:lang w:val="es-ES" w:eastAsia="es-ES_tradnl"/>
        </w:rPr>
        <w:t>.</w:t>
      </w:r>
      <w:r w:rsidRPr="00314376">
        <w:rPr>
          <w:rFonts w:eastAsia="Times New Roman"/>
          <w:lang w:val="es-ES" w:eastAsia="es-ES_tradnl"/>
        </w:rPr>
        <w:t xml:space="preserve"> Por su parte, varios de los autores consultados se adhieren a las opiniones de Mc Hill</w:t>
      </w:r>
      <w:r w:rsidR="004B6B57">
        <w:rPr>
          <w:rStyle w:val="Refdenotaalpie"/>
          <w:rFonts w:eastAsia="Times New Roman"/>
          <w:lang w:val="es-ES" w:eastAsia="es-ES_tradnl"/>
        </w:rPr>
        <w:footnoteReference w:id="9"/>
      </w:r>
      <w:r w:rsidRPr="00314376">
        <w:rPr>
          <w:rFonts w:eastAsia="Times New Roman"/>
          <w:lang w:val="es-ES" w:eastAsia="es-ES_tradnl"/>
        </w:rPr>
        <w:t xml:space="preserve"> que, empleando los estudios exegéticos que presenta en su obra, opina </w:t>
      </w:r>
      <w:r w:rsidRPr="00314376">
        <w:rPr>
          <w:rFonts w:eastAsia="Times New Roman"/>
          <w:color w:val="000000" w:themeColor="text1"/>
          <w:lang w:val="es-ES" w:eastAsia="es-ES_tradnl"/>
        </w:rPr>
        <w:t xml:space="preserve">que el término </w:t>
      </w:r>
      <w:proofErr w:type="spellStart"/>
      <w:r w:rsidRPr="00314376">
        <w:rPr>
          <w:rFonts w:eastAsia="Times New Roman"/>
          <w:i/>
          <w:color w:val="000000" w:themeColor="text1"/>
          <w:lang w:val="es-ES" w:eastAsia="es-ES_tradnl"/>
        </w:rPr>
        <w:t>malakói</w:t>
      </w:r>
      <w:proofErr w:type="spellEnd"/>
      <w:r w:rsidRPr="00314376">
        <w:rPr>
          <w:rFonts w:eastAsia="Times New Roman"/>
          <w:color w:val="000000" w:themeColor="text1"/>
          <w:lang w:val="es-ES" w:eastAsia="es-ES_tradnl"/>
        </w:rPr>
        <w:t xml:space="preserve"> no se refiere directamente a la homosexualidad, (aunque tampoco la excluye), sino que significa más bien el hombre de carácter débil y de hábitos licenciosos</w:t>
      </w:r>
      <w:r w:rsidR="00891FFF">
        <w:rPr>
          <w:rFonts w:eastAsia="Times New Roman"/>
          <w:color w:val="000000" w:themeColor="text1"/>
          <w:lang w:val="es-ES" w:eastAsia="es-ES_tradnl"/>
        </w:rPr>
        <w:t xml:space="preserve"> y q</w:t>
      </w:r>
      <w:r w:rsidRPr="00314376">
        <w:rPr>
          <w:rFonts w:eastAsia="Times New Roman"/>
          <w:color w:val="000000" w:themeColor="text1"/>
          <w:lang w:val="es-ES" w:eastAsia="es-ES_tradnl"/>
        </w:rPr>
        <w:t xml:space="preserve">ue el término </w:t>
      </w:r>
      <w:proofErr w:type="spellStart"/>
      <w:r w:rsidRPr="00314376">
        <w:rPr>
          <w:rFonts w:eastAsia="Times New Roman"/>
          <w:i/>
          <w:color w:val="000000" w:themeColor="text1"/>
          <w:lang w:val="es-ES" w:eastAsia="es-ES_tradnl"/>
        </w:rPr>
        <w:t>Arsenokòitai</w:t>
      </w:r>
      <w:proofErr w:type="spellEnd"/>
      <w:r w:rsidRPr="00314376">
        <w:rPr>
          <w:rFonts w:eastAsia="Times New Roman"/>
          <w:i/>
          <w:color w:val="000000" w:themeColor="text1"/>
          <w:lang w:val="es-ES" w:eastAsia="es-ES_tradnl"/>
        </w:rPr>
        <w:t xml:space="preserve"> </w:t>
      </w:r>
      <w:r w:rsidRPr="00314376">
        <w:rPr>
          <w:rFonts w:eastAsia="Times New Roman"/>
          <w:color w:val="000000" w:themeColor="text1"/>
          <w:lang w:val="es-ES" w:eastAsia="es-ES_tradnl"/>
        </w:rPr>
        <w:t xml:space="preserve">se puede aplicar a los prostitutos sagrados y concubinos de los templos paganos, en especial de Corinto, por lo que señalaría más bien una condena a la idolatría que a los actos homosexuales en sí. A este mismo razonamiento se unen </w:t>
      </w:r>
      <w:r w:rsidR="00436B77" w:rsidRPr="00436B77">
        <w:rPr>
          <w:rFonts w:eastAsia="Times New Roman"/>
          <w:color w:val="000000" w:themeColor="text1"/>
          <w:lang w:val="es-ES" w:eastAsia="es-ES_tradnl"/>
        </w:rPr>
        <w:t>Robert Shore-</w:t>
      </w:r>
      <w:proofErr w:type="spellStart"/>
      <w:r w:rsidR="00436B77" w:rsidRPr="00436B77">
        <w:rPr>
          <w:rFonts w:eastAsia="Times New Roman"/>
          <w:color w:val="000000" w:themeColor="text1"/>
          <w:lang w:val="es-ES" w:eastAsia="es-ES_tradnl"/>
        </w:rPr>
        <w:t>Goss</w:t>
      </w:r>
      <w:proofErr w:type="spellEnd"/>
      <w:r w:rsidR="000856D7">
        <w:rPr>
          <w:rStyle w:val="Refdenotaalpie"/>
          <w:rFonts w:eastAsia="Times New Roman"/>
          <w:color w:val="000000" w:themeColor="text1"/>
          <w:lang w:val="es-ES" w:eastAsia="es-ES_tradnl"/>
        </w:rPr>
        <w:footnoteReference w:id="10"/>
      </w:r>
      <w:r w:rsidRPr="00314376">
        <w:rPr>
          <w:rFonts w:eastAsia="Times New Roman"/>
          <w:color w:val="000000" w:themeColor="text1"/>
          <w:lang w:val="es-ES" w:eastAsia="es-ES_tradnl"/>
        </w:rPr>
        <w:t xml:space="preserve"> y </w:t>
      </w:r>
      <w:r w:rsidR="00436B77" w:rsidRPr="00436B77">
        <w:rPr>
          <w:rFonts w:eastAsia="Times New Roman"/>
          <w:color w:val="000000" w:themeColor="text1"/>
          <w:lang w:val="es-ES" w:eastAsia="es-ES_tradnl"/>
        </w:rPr>
        <w:t>Elder Don Eastman</w:t>
      </w:r>
      <w:r w:rsidR="000856D7">
        <w:rPr>
          <w:rStyle w:val="Refdenotaalpie"/>
          <w:rFonts w:eastAsia="Times New Roman"/>
          <w:color w:val="000000" w:themeColor="text1"/>
          <w:lang w:val="es-ES" w:eastAsia="es-ES_tradnl"/>
        </w:rPr>
        <w:footnoteReference w:id="11"/>
      </w:r>
      <w:r w:rsidR="00436B77">
        <w:rPr>
          <w:rFonts w:eastAsia="Times New Roman"/>
          <w:color w:val="000000" w:themeColor="text1"/>
          <w:lang w:val="es-ES" w:eastAsia="es-ES_tradnl"/>
        </w:rPr>
        <w:t xml:space="preserve"> en sus ensayos, </w:t>
      </w:r>
      <w:r w:rsidR="00FB4C68">
        <w:rPr>
          <w:rFonts w:eastAsia="Times New Roman"/>
          <w:color w:val="000000" w:themeColor="text1"/>
          <w:lang w:val="es-ES" w:eastAsia="es-ES_tradnl"/>
        </w:rPr>
        <w:t>d</w:t>
      </w:r>
      <w:r w:rsidRPr="00314376">
        <w:rPr>
          <w:rFonts w:eastAsia="Times New Roman"/>
          <w:color w:val="000000" w:themeColor="text1"/>
          <w:lang w:val="es-ES" w:eastAsia="es-ES_tradnl"/>
        </w:rPr>
        <w:t>estacando además que, siendo los actos homosexuales conocidos y practicados en Corinto y Éfeso, el autor, al no emplear específicamente términos referidos a comportamientos homosexuales</w:t>
      </w:r>
      <w:r w:rsidR="00C43FDC">
        <w:rPr>
          <w:rFonts w:eastAsia="Times New Roman"/>
          <w:color w:val="000000" w:themeColor="text1"/>
          <w:lang w:val="es-ES" w:eastAsia="es-ES_tradnl"/>
        </w:rPr>
        <w:t xml:space="preserve"> –que no especifican cuales son, ni he sido capaz de determinar cuales pueden ser–</w:t>
      </w:r>
      <w:r w:rsidRPr="00314376">
        <w:rPr>
          <w:rFonts w:eastAsia="Times New Roman"/>
          <w:color w:val="000000" w:themeColor="text1"/>
          <w:lang w:val="es-ES" w:eastAsia="es-ES_tradnl"/>
        </w:rPr>
        <w:t xml:space="preserve">, sino palabras que se refieren a actos que pueden ser interpretados de manera equívoca, el sentido de las palabras no debe ser en ningún caso </w:t>
      </w:r>
      <w:r w:rsidRPr="00314376">
        <w:rPr>
          <w:rFonts w:eastAsia="Times New Roman"/>
          <w:i/>
          <w:color w:val="000000" w:themeColor="text1"/>
          <w:lang w:val="es-ES" w:eastAsia="es-ES_tradnl"/>
        </w:rPr>
        <w:t>afeminados</w:t>
      </w:r>
      <w:r w:rsidRPr="00314376">
        <w:rPr>
          <w:rFonts w:eastAsia="Times New Roman"/>
          <w:color w:val="000000" w:themeColor="text1"/>
          <w:lang w:val="es-ES" w:eastAsia="es-ES_tradnl"/>
        </w:rPr>
        <w:t xml:space="preserve"> y </w:t>
      </w:r>
      <w:r w:rsidRPr="00314376">
        <w:rPr>
          <w:rFonts w:eastAsia="Times New Roman"/>
          <w:i/>
          <w:color w:val="000000" w:themeColor="text1"/>
          <w:lang w:val="es-ES" w:eastAsia="es-ES_tradnl"/>
        </w:rPr>
        <w:t>sodomitas.</w:t>
      </w:r>
    </w:p>
    <w:p w:rsidR="00C10B39" w:rsidRPr="00314376" w:rsidRDefault="00C10B39" w:rsidP="00C10B39">
      <w:pPr>
        <w:rPr>
          <w:rFonts w:eastAsia="Times New Roman"/>
          <w:lang w:val="es-ES" w:eastAsia="es-ES_tradnl"/>
        </w:rPr>
      </w:pPr>
      <w:r w:rsidRPr="00314376">
        <w:rPr>
          <w:rFonts w:eastAsia="Times New Roman"/>
          <w:lang w:val="es-ES" w:eastAsia="es-ES_tradnl"/>
        </w:rPr>
        <w:t xml:space="preserve">En cuanto al contexto de las cartas y a las comunidades a las que se dirigen. En </w:t>
      </w:r>
      <w:r>
        <w:rPr>
          <w:rFonts w:eastAsia="Times New Roman"/>
          <w:lang w:val="es-ES" w:eastAsia="es-ES_tradnl"/>
        </w:rPr>
        <w:t>1</w:t>
      </w:r>
      <w:r w:rsidRPr="00314376">
        <w:rPr>
          <w:rFonts w:eastAsia="Times New Roman"/>
          <w:lang w:val="es-ES" w:eastAsia="es-ES_tradnl"/>
        </w:rPr>
        <w:t>Corintios Pablo reprende a la joven comunidad por un doble escándalo: por un lado</w:t>
      </w:r>
      <w:r>
        <w:rPr>
          <w:rFonts w:eastAsia="Times New Roman"/>
          <w:lang w:val="es-ES" w:eastAsia="es-ES_tradnl"/>
        </w:rPr>
        <w:t>,</w:t>
      </w:r>
      <w:r w:rsidRPr="00314376">
        <w:rPr>
          <w:rFonts w:eastAsia="Times New Roman"/>
          <w:lang w:val="es-ES" w:eastAsia="es-ES_tradnl"/>
        </w:rPr>
        <w:t xml:space="preserve"> recurren a los tribunales civiles para resolver sus disputas lugar de resolverlas dentro de la comunidad cristiana; por otro, un miembro de la comunidad viviendo de modo incestuoso sin que al parecer el resto de la comunidad se lo recrimine. En este contexto, Pablo, que ha señalado ya en 1Co 5, 11 una lista de vicios, la completa con </w:t>
      </w:r>
      <w:r w:rsidR="00C43FDC">
        <w:rPr>
          <w:rFonts w:eastAsia="Times New Roman"/>
          <w:lang w:val="es-ES" w:eastAsia="es-ES_tradnl"/>
        </w:rPr>
        <w:t>algunos</w:t>
      </w:r>
      <w:r w:rsidRPr="00314376">
        <w:rPr>
          <w:rFonts w:eastAsia="Times New Roman"/>
          <w:lang w:val="es-ES" w:eastAsia="es-ES_tradnl"/>
        </w:rPr>
        <w:t xml:space="preserve"> vicios sexuales, señalando que todos los que los cometan no “</w:t>
      </w:r>
      <w:r w:rsidRPr="00314376">
        <w:rPr>
          <w:rFonts w:eastAsia="Times New Roman"/>
          <w:i/>
          <w:lang w:val="es-ES" w:eastAsia="es-ES_tradnl"/>
        </w:rPr>
        <w:t>heredarán el Reino de Dios</w:t>
      </w:r>
      <w:r w:rsidRPr="00314376">
        <w:rPr>
          <w:rFonts w:eastAsia="Times New Roman"/>
          <w:lang w:val="es-ES" w:eastAsia="es-ES_tradnl"/>
        </w:rPr>
        <w:t xml:space="preserve">”. </w:t>
      </w:r>
      <w:r w:rsidR="00FE1267">
        <w:rPr>
          <w:rFonts w:eastAsia="Times New Roman"/>
          <w:lang w:val="es-ES" w:eastAsia="es-ES_tradnl"/>
        </w:rPr>
        <w:t xml:space="preserve">Estudiando este hecho, </w:t>
      </w:r>
      <w:r w:rsidR="00FE1267" w:rsidRPr="00FB4C68">
        <w:rPr>
          <w:rFonts w:eastAsia="Times New Roman"/>
          <w:lang w:val="es-ES" w:eastAsia="es-ES_tradnl"/>
        </w:rPr>
        <w:t>Jean-</w:t>
      </w:r>
      <w:proofErr w:type="spellStart"/>
      <w:r w:rsidR="00FE1267" w:rsidRPr="00FB4C68">
        <w:rPr>
          <w:rFonts w:eastAsia="Times New Roman"/>
          <w:lang w:val="es-ES" w:eastAsia="es-ES_tradnl"/>
        </w:rPr>
        <w:t>Baptiste</w:t>
      </w:r>
      <w:proofErr w:type="spellEnd"/>
      <w:r w:rsidR="00FE1267" w:rsidRPr="00FB4C68">
        <w:rPr>
          <w:rFonts w:eastAsia="Times New Roman"/>
          <w:lang w:val="es-ES" w:eastAsia="es-ES_tradnl"/>
        </w:rPr>
        <w:t xml:space="preserve"> </w:t>
      </w:r>
      <w:proofErr w:type="spellStart"/>
      <w:r w:rsidR="00FE1267" w:rsidRPr="00FB4C68">
        <w:rPr>
          <w:rFonts w:eastAsia="Times New Roman"/>
          <w:lang w:val="es-ES" w:eastAsia="es-ES_tradnl"/>
        </w:rPr>
        <w:t>Edart</w:t>
      </w:r>
      <w:proofErr w:type="spellEnd"/>
      <w:r w:rsidR="00FE1267">
        <w:rPr>
          <w:rFonts w:eastAsia="Times New Roman"/>
          <w:lang w:val="es-ES" w:eastAsia="es-ES_tradnl"/>
        </w:rPr>
        <w:t xml:space="preserve"> concluye que, habiendo traducido </w:t>
      </w:r>
      <w:proofErr w:type="spellStart"/>
      <w:r w:rsidRPr="00314376">
        <w:rPr>
          <w:rFonts w:eastAsia="Times New Roman"/>
          <w:i/>
          <w:color w:val="000000" w:themeColor="text1"/>
          <w:lang w:val="es-ES" w:eastAsia="es-ES_tradnl"/>
        </w:rPr>
        <w:t>Arsenokòitai</w:t>
      </w:r>
      <w:proofErr w:type="spellEnd"/>
      <w:r>
        <w:rPr>
          <w:rFonts w:eastAsia="Times New Roman"/>
          <w:i/>
          <w:color w:val="000000" w:themeColor="text1"/>
          <w:lang w:val="es-ES" w:eastAsia="es-ES_tradnl"/>
        </w:rPr>
        <w:t xml:space="preserve"> </w:t>
      </w:r>
      <w:r w:rsidR="00FE1267" w:rsidRPr="00FE1267">
        <w:rPr>
          <w:rFonts w:eastAsia="Times New Roman"/>
          <w:color w:val="000000" w:themeColor="text1"/>
          <w:lang w:val="es-ES" w:eastAsia="es-ES_tradnl"/>
        </w:rPr>
        <w:t>por</w:t>
      </w:r>
      <w:r w:rsidR="00FE1267">
        <w:rPr>
          <w:rFonts w:eastAsia="Times New Roman"/>
          <w:i/>
          <w:color w:val="000000" w:themeColor="text1"/>
          <w:lang w:val="es-ES" w:eastAsia="es-ES_tradnl"/>
        </w:rPr>
        <w:t xml:space="preserve"> “acostarse con hombres”</w:t>
      </w:r>
      <w:r w:rsidR="00FE1267">
        <w:rPr>
          <w:rFonts w:eastAsia="Times New Roman"/>
          <w:lang w:val="es-ES" w:eastAsia="es-ES_tradnl"/>
        </w:rPr>
        <w:t xml:space="preserve">, y </w:t>
      </w:r>
      <w:r w:rsidR="00C43FDC">
        <w:rPr>
          <w:rFonts w:eastAsia="Times New Roman"/>
          <w:lang w:val="es-ES" w:eastAsia="es-ES_tradnl"/>
        </w:rPr>
        <w:t>constatando</w:t>
      </w:r>
      <w:r w:rsidR="00FE1267">
        <w:rPr>
          <w:rFonts w:eastAsia="Times New Roman"/>
          <w:lang w:val="es-ES" w:eastAsia="es-ES_tradnl"/>
        </w:rPr>
        <w:t xml:space="preserve"> que el texto </w:t>
      </w:r>
      <w:r w:rsidR="00FE1267" w:rsidRPr="00314376">
        <w:rPr>
          <w:rFonts w:eastAsia="Times New Roman"/>
          <w:lang w:val="es-ES" w:eastAsia="es-ES_tradnl"/>
        </w:rPr>
        <w:t xml:space="preserve">Pablo está señalando graves </w:t>
      </w:r>
      <w:r w:rsidR="00FE1267">
        <w:rPr>
          <w:rFonts w:eastAsia="Times New Roman"/>
          <w:lang w:val="es-ES" w:eastAsia="es-ES_tradnl"/>
        </w:rPr>
        <w:t>pecados de carácter</w:t>
      </w:r>
      <w:r w:rsidR="00FE1267" w:rsidRPr="00314376">
        <w:rPr>
          <w:rFonts w:eastAsia="Times New Roman"/>
          <w:lang w:val="es-ES" w:eastAsia="es-ES_tradnl"/>
        </w:rPr>
        <w:t xml:space="preserve"> sexual y no simplemente criticando acciones idolátricas o formas de comportamiento poco varoniles</w:t>
      </w:r>
      <w:r w:rsidR="00FE1267">
        <w:rPr>
          <w:rFonts w:eastAsia="Times New Roman"/>
          <w:lang w:val="es-ES" w:eastAsia="es-ES_tradnl"/>
        </w:rPr>
        <w:t xml:space="preserve">, la traducción de </w:t>
      </w:r>
      <w:proofErr w:type="spellStart"/>
      <w:r w:rsidR="00FE1267">
        <w:rPr>
          <w:rFonts w:eastAsia="Times New Roman"/>
          <w:i/>
          <w:lang w:val="es-ES" w:eastAsia="es-ES_tradnl"/>
        </w:rPr>
        <w:t>malakoi</w:t>
      </w:r>
      <w:proofErr w:type="spellEnd"/>
      <w:r w:rsidR="00FE1267">
        <w:rPr>
          <w:rFonts w:eastAsia="Times New Roman"/>
          <w:i/>
          <w:lang w:val="es-ES" w:eastAsia="es-ES_tradnl"/>
        </w:rPr>
        <w:t xml:space="preserve"> </w:t>
      </w:r>
      <w:r w:rsidR="00FE1267">
        <w:rPr>
          <w:rFonts w:eastAsia="Times New Roman"/>
          <w:lang w:val="es-ES" w:eastAsia="es-ES_tradnl"/>
        </w:rPr>
        <w:t xml:space="preserve">debe ser en su acepción sexual, que es el de </w:t>
      </w:r>
      <w:r w:rsidR="00FE1267" w:rsidRPr="00FE1267">
        <w:rPr>
          <w:rFonts w:eastAsia="Times New Roman"/>
          <w:lang w:val="es-ES" w:eastAsia="es-ES_tradnl"/>
        </w:rPr>
        <w:t>afeminado</w:t>
      </w:r>
      <w:r w:rsidR="00FE1267">
        <w:rPr>
          <w:rFonts w:eastAsia="Times New Roman"/>
          <w:lang w:val="es-ES" w:eastAsia="es-ES_tradnl"/>
        </w:rPr>
        <w:t>, en cuanto que varón que actúa pasivamente en el acto sexual</w:t>
      </w:r>
      <w:r w:rsidRPr="00314376">
        <w:rPr>
          <w:rFonts w:eastAsia="Times New Roman"/>
          <w:lang w:val="es-ES" w:eastAsia="es-ES_tradnl"/>
        </w:rPr>
        <w:t>. En el caso de la</w:t>
      </w:r>
      <w:r w:rsidR="00C43FDC">
        <w:rPr>
          <w:rFonts w:eastAsia="Times New Roman"/>
          <w:lang w:val="es-ES" w:eastAsia="es-ES_tradnl"/>
        </w:rPr>
        <w:t xml:space="preserve"> primera c</w:t>
      </w:r>
      <w:r w:rsidRPr="00314376">
        <w:rPr>
          <w:rFonts w:eastAsia="Times New Roman"/>
          <w:lang w:val="es-ES" w:eastAsia="es-ES_tradnl"/>
        </w:rPr>
        <w:t xml:space="preserve">arta a Timoteo, los mismos autores plantean que, sea la carta de Pablo o de un discípulo suyo, el empleo de </w:t>
      </w:r>
      <w:proofErr w:type="spellStart"/>
      <w:r w:rsidRPr="00314376">
        <w:rPr>
          <w:rFonts w:eastAsia="Times New Roman"/>
          <w:i/>
          <w:lang w:val="es-ES" w:eastAsia="es-ES_tradnl"/>
        </w:rPr>
        <w:t>arsenokai</w:t>
      </w:r>
      <w:proofErr w:type="spellEnd"/>
      <w:r w:rsidRPr="00314376">
        <w:rPr>
          <w:rFonts w:eastAsia="Times New Roman"/>
          <w:i/>
          <w:lang w:val="es-ES" w:eastAsia="es-ES_tradnl"/>
        </w:rPr>
        <w:t xml:space="preserve"> </w:t>
      </w:r>
      <w:r w:rsidRPr="00314376">
        <w:rPr>
          <w:rFonts w:eastAsia="Times New Roman"/>
          <w:lang w:val="es-ES" w:eastAsia="es-ES_tradnl"/>
        </w:rPr>
        <w:t xml:space="preserve">en un contexto dentro de la carta similar a la de 1Co lleva a pensar que tiene el mismo significado. Por su parte, </w:t>
      </w:r>
      <w:r w:rsidRPr="00436B77">
        <w:rPr>
          <w:rFonts w:eastAsia="Times New Roman"/>
          <w:color w:val="000000" w:themeColor="text1"/>
          <w:lang w:val="es-ES" w:eastAsia="es-ES_tradnl"/>
        </w:rPr>
        <w:t>Robert Shore-</w:t>
      </w:r>
      <w:proofErr w:type="spellStart"/>
      <w:r w:rsidRPr="00436B77">
        <w:rPr>
          <w:rFonts w:eastAsia="Times New Roman"/>
          <w:color w:val="000000" w:themeColor="text1"/>
          <w:lang w:val="es-ES" w:eastAsia="es-ES_tradnl"/>
        </w:rPr>
        <w:t>Goss</w:t>
      </w:r>
      <w:proofErr w:type="spellEnd"/>
      <w:r>
        <w:rPr>
          <w:rFonts w:ascii="Calibri" w:cs="Times New Roman"/>
          <w:sz w:val="20"/>
        </w:rPr>
        <w:t xml:space="preserve"> </w:t>
      </w:r>
      <w:r w:rsidRPr="00314376">
        <w:rPr>
          <w:rFonts w:eastAsia="Times New Roman"/>
          <w:color w:val="000000" w:themeColor="text1"/>
          <w:lang w:val="es-ES" w:eastAsia="es-ES_tradnl"/>
        </w:rPr>
        <w:t xml:space="preserve">y </w:t>
      </w:r>
      <w:r w:rsidRPr="00436B77">
        <w:rPr>
          <w:rFonts w:eastAsia="Times New Roman"/>
          <w:color w:val="000000" w:themeColor="text1"/>
          <w:lang w:val="es-ES" w:eastAsia="es-ES_tradnl"/>
        </w:rPr>
        <w:t>Elder Don Eastman</w:t>
      </w:r>
      <w:r>
        <w:rPr>
          <w:rFonts w:eastAsia="Times New Roman"/>
          <w:color w:val="000000" w:themeColor="text1"/>
          <w:lang w:val="es-ES" w:eastAsia="es-ES_tradnl"/>
        </w:rPr>
        <w:t xml:space="preserve">, siguiendo la obra de Mc </w:t>
      </w:r>
      <w:proofErr w:type="spellStart"/>
      <w:r>
        <w:rPr>
          <w:rFonts w:eastAsia="Times New Roman"/>
          <w:color w:val="000000" w:themeColor="text1"/>
          <w:lang w:val="es-ES" w:eastAsia="es-ES_tradnl"/>
        </w:rPr>
        <w:t>Neill</w:t>
      </w:r>
      <w:proofErr w:type="spellEnd"/>
      <w:r w:rsidR="00476E36">
        <w:rPr>
          <w:rStyle w:val="Refdenotaalpie"/>
          <w:rFonts w:eastAsia="Times New Roman"/>
          <w:color w:val="000000" w:themeColor="text1"/>
          <w:lang w:val="es-ES" w:eastAsia="es-ES_tradnl"/>
        </w:rPr>
        <w:footnoteReference w:id="12"/>
      </w:r>
      <w:r>
        <w:rPr>
          <w:rFonts w:eastAsia="Times New Roman"/>
          <w:color w:val="000000" w:themeColor="text1"/>
          <w:lang w:val="es-ES" w:eastAsia="es-ES_tradnl"/>
        </w:rPr>
        <w:t xml:space="preserve">, </w:t>
      </w:r>
      <w:r w:rsidRPr="00314376">
        <w:rPr>
          <w:rFonts w:eastAsia="Times New Roman"/>
          <w:lang w:val="es-ES" w:eastAsia="es-ES_tradnl"/>
        </w:rPr>
        <w:t xml:space="preserve">se apoyan en que en ambas ciudades la idolatría y los comportamientos sexuales homosexuales unidos al culto a los dioses paganos eran muy fuertes </w:t>
      </w:r>
      <w:r w:rsidR="00476E36">
        <w:rPr>
          <w:rFonts w:eastAsia="Times New Roman"/>
          <w:lang w:val="es-ES" w:eastAsia="es-ES_tradnl"/>
        </w:rPr>
        <w:t>y</w:t>
      </w:r>
      <w:r w:rsidRPr="00314376">
        <w:rPr>
          <w:rFonts w:eastAsia="Times New Roman"/>
          <w:lang w:val="es-ES" w:eastAsia="es-ES_tradnl"/>
        </w:rPr>
        <w:t xml:space="preserve"> prop</w:t>
      </w:r>
      <w:r w:rsidR="00476E36">
        <w:rPr>
          <w:rFonts w:eastAsia="Times New Roman"/>
          <w:lang w:val="es-ES" w:eastAsia="es-ES_tradnl"/>
        </w:rPr>
        <w:t>one</w:t>
      </w:r>
      <w:r w:rsidRPr="00314376">
        <w:rPr>
          <w:rFonts w:eastAsia="Times New Roman"/>
          <w:lang w:val="es-ES" w:eastAsia="es-ES_tradnl"/>
        </w:rPr>
        <w:t xml:space="preserve"> que es a esos comportamientos a los que se refieren los </w:t>
      </w:r>
      <w:r w:rsidR="00476E36">
        <w:rPr>
          <w:rFonts w:eastAsia="Times New Roman"/>
          <w:lang w:val="es-ES" w:eastAsia="es-ES_tradnl"/>
        </w:rPr>
        <w:t>textos</w:t>
      </w:r>
      <w:r w:rsidRPr="00314376">
        <w:rPr>
          <w:rFonts w:eastAsia="Times New Roman"/>
          <w:lang w:val="es-ES" w:eastAsia="es-ES_tradnl"/>
        </w:rPr>
        <w:t>, y no a una crítica a los homosexuales puesto que –señalan– si fuera una condena a los homosexuales, todos lo que tengan estas tendencias no serían dignos del Reino de los Cielos, y esto va en contra de la doctrina que Cristo enseña en los evangelios.</w:t>
      </w:r>
    </w:p>
    <w:p w:rsidR="008C221E" w:rsidRPr="00314376" w:rsidRDefault="008C221E" w:rsidP="00714055">
      <w:pPr>
        <w:pStyle w:val="Ttulo1"/>
        <w:keepNext w:val="0"/>
        <w:keepLines w:val="0"/>
        <w:numPr>
          <w:ilvl w:val="0"/>
          <w:numId w:val="7"/>
        </w:numPr>
        <w:spacing w:before="600" w:after="0"/>
        <w:rPr>
          <w:rFonts w:asciiTheme="minorHAnsi" w:hAnsiTheme="minorHAnsi"/>
        </w:rPr>
      </w:pPr>
      <w:r w:rsidRPr="00314376">
        <w:rPr>
          <w:rFonts w:asciiTheme="minorHAnsi" w:hAnsiTheme="minorHAnsi"/>
        </w:rPr>
        <w:lastRenderedPageBreak/>
        <w:t xml:space="preserve">la carta a los Romanos. </w:t>
      </w:r>
    </w:p>
    <w:tbl>
      <w:tblPr>
        <w:tblStyle w:val="Tablaconcuadrcula"/>
        <w:tblW w:w="0" w:type="auto"/>
        <w:jc w:val="center"/>
        <w:tblLook w:val="04A0" w:firstRow="1" w:lastRow="0" w:firstColumn="1" w:lastColumn="0" w:noHBand="0" w:noVBand="1"/>
      </w:tblPr>
      <w:tblGrid>
        <w:gridCol w:w="9493"/>
      </w:tblGrid>
      <w:tr w:rsidR="00314376" w:rsidRPr="00314376" w:rsidTr="002F48E7">
        <w:trPr>
          <w:jc w:val="center"/>
        </w:trPr>
        <w:tc>
          <w:tcPr>
            <w:tcW w:w="9493" w:type="dxa"/>
          </w:tcPr>
          <w:p w:rsidR="00314376" w:rsidRPr="00314376" w:rsidRDefault="00314376" w:rsidP="00314376">
            <w:pPr>
              <w:jc w:val="center"/>
              <w:rPr>
                <w:rFonts w:eastAsia="Times New Roman"/>
                <w:b/>
                <w:lang w:val="es-ES" w:eastAsia="es-ES_tradnl"/>
              </w:rPr>
            </w:pPr>
            <w:r w:rsidRPr="00314376">
              <w:rPr>
                <w:rFonts w:eastAsia="Times New Roman"/>
                <w:b/>
                <w:lang w:val="es-ES" w:eastAsia="es-ES_tradnl"/>
              </w:rPr>
              <w:t>Romanos 1, 26-28</w:t>
            </w:r>
          </w:p>
        </w:tc>
      </w:tr>
      <w:tr w:rsidR="00314376" w:rsidRPr="00314376" w:rsidTr="002F48E7">
        <w:trPr>
          <w:jc w:val="center"/>
        </w:trPr>
        <w:tc>
          <w:tcPr>
            <w:tcW w:w="9493" w:type="dxa"/>
          </w:tcPr>
          <w:p w:rsidR="00314376" w:rsidRPr="00314376" w:rsidRDefault="00314376" w:rsidP="00314376">
            <w:pPr>
              <w:rPr>
                <w:rFonts w:eastAsia="Times New Roman"/>
                <w:lang w:val="es-ES" w:eastAsia="es-ES_tradnl"/>
              </w:rPr>
            </w:pPr>
            <w:r w:rsidRPr="00314376">
              <w:rPr>
                <w:rFonts w:eastAsia="Times New Roman"/>
                <w:vertAlign w:val="superscript"/>
                <w:lang w:val="es-ES" w:eastAsia="es-ES_tradnl"/>
              </w:rPr>
              <w:t>26</w:t>
            </w:r>
            <w:r w:rsidRPr="00314376">
              <w:rPr>
                <w:rFonts w:eastAsia="Times New Roman"/>
                <w:lang w:val="es-ES" w:eastAsia="es-ES_tradnl"/>
              </w:rPr>
              <w:t xml:space="preserve">Por lo tanto, Dios los entregó a pasiones deshonrosas, pues </w:t>
            </w:r>
            <w:r w:rsidRPr="00314376">
              <w:rPr>
                <w:rFonts w:eastAsia="Times New Roman"/>
                <w:i/>
                <w:lang w:val="es-ES" w:eastAsia="es-ES_tradnl"/>
              </w:rPr>
              <w:t>sus mujeres cambiaron el uso natural por el que es contrario a la naturaleza</w:t>
            </w:r>
            <w:r w:rsidRPr="00314376">
              <w:rPr>
                <w:rFonts w:eastAsia="Times New Roman"/>
                <w:lang w:val="es-ES" w:eastAsia="es-ES_tradnl"/>
              </w:rPr>
              <w:t xml:space="preserve">, </w:t>
            </w:r>
            <w:r w:rsidRPr="00314376">
              <w:rPr>
                <w:rFonts w:eastAsia="Times New Roman"/>
                <w:vertAlign w:val="superscript"/>
                <w:lang w:val="es-ES" w:eastAsia="es-ES_tradnl"/>
              </w:rPr>
              <w:t xml:space="preserve">27 </w:t>
            </w:r>
            <w:r w:rsidRPr="00314376">
              <w:rPr>
                <w:rFonts w:eastAsia="Times New Roman"/>
                <w:lang w:val="es-ES" w:eastAsia="es-ES_tradnl"/>
              </w:rPr>
              <w:t xml:space="preserve">y del mismo modo </w:t>
            </w:r>
            <w:r w:rsidRPr="00314376">
              <w:rPr>
                <w:rFonts w:eastAsia="Times New Roman"/>
                <w:i/>
                <w:lang w:val="es-ES" w:eastAsia="es-ES_tradnl"/>
              </w:rPr>
              <w:t>los varones</w:t>
            </w:r>
            <w:r w:rsidRPr="00314376">
              <w:rPr>
                <w:rFonts w:eastAsia="Times New Roman"/>
                <w:lang w:val="es-ES" w:eastAsia="es-ES_tradnl"/>
              </w:rPr>
              <w:t xml:space="preserve">, dejando el uso natural de la mujer, se abrasaron en deseos de unos por otros, </w:t>
            </w:r>
            <w:r w:rsidRPr="00314376">
              <w:rPr>
                <w:rFonts w:eastAsia="Times New Roman"/>
                <w:i/>
                <w:lang w:val="es-ES" w:eastAsia="es-ES_tradnl"/>
              </w:rPr>
              <w:t>cometiendo torpezas varones con varones</w:t>
            </w:r>
            <w:r w:rsidRPr="00314376">
              <w:rPr>
                <w:rFonts w:eastAsia="Times New Roman"/>
                <w:lang w:val="es-ES" w:eastAsia="es-ES_tradnl"/>
              </w:rPr>
              <w:t xml:space="preserve"> y recibiendo en sí mismos el pago merecido por sus extravíos. </w:t>
            </w:r>
          </w:p>
        </w:tc>
      </w:tr>
    </w:tbl>
    <w:p w:rsidR="00314376" w:rsidRPr="00314376" w:rsidRDefault="00314376" w:rsidP="00314376">
      <w:pPr>
        <w:rPr>
          <w:rFonts w:eastAsia="Times New Roman"/>
          <w:lang w:val="es-ES" w:eastAsia="es-ES_tradnl"/>
        </w:rPr>
      </w:pPr>
      <w:r w:rsidRPr="00314376">
        <w:rPr>
          <w:rFonts w:eastAsia="Times New Roman"/>
          <w:lang w:val="es-ES" w:eastAsia="es-ES_tradnl"/>
        </w:rPr>
        <w:t>San Pablo aborda en esta carta el de la justificación por la fe, necesaria por los pecados, tanto de paganos como de judíos puesto que, como dirá en el capítulo 4: “</w:t>
      </w:r>
      <w:r w:rsidRPr="00314376">
        <w:rPr>
          <w:rFonts w:eastAsia="Times New Roman"/>
          <w:i/>
          <w:lang w:val="es-ES" w:eastAsia="es-ES_tradnl"/>
        </w:rPr>
        <w:t>Dios concedió las promesas a Abrahán, no por las obras, sino por la fe</w:t>
      </w:r>
      <w:r w:rsidRPr="00314376">
        <w:rPr>
          <w:rFonts w:eastAsia="Times New Roman"/>
          <w:lang w:val="es-ES" w:eastAsia="es-ES_tradnl"/>
        </w:rPr>
        <w:t xml:space="preserve">”. En este contexto Pablo enseña que, pese a que Dios es cognoscible a partir de las obras de la creación, los paganos han caído en la idolatría, y ese comportamiento, que califica de </w:t>
      </w:r>
      <w:r w:rsidRPr="00314376">
        <w:rPr>
          <w:rFonts w:eastAsia="Times New Roman"/>
          <w:i/>
          <w:lang w:val="es-ES" w:eastAsia="es-ES_tradnl"/>
        </w:rPr>
        <w:t>antinatural</w:t>
      </w:r>
      <w:r w:rsidRPr="00314376">
        <w:rPr>
          <w:rFonts w:eastAsia="Times New Roman"/>
          <w:lang w:val="es-ES" w:eastAsia="es-ES_tradnl"/>
        </w:rPr>
        <w:t xml:space="preserve">, lo compara con las acciones </w:t>
      </w:r>
      <w:r w:rsidRPr="00314376">
        <w:rPr>
          <w:rFonts w:eastAsia="Times New Roman"/>
          <w:i/>
          <w:lang w:val="es-ES" w:eastAsia="es-ES_tradnl"/>
        </w:rPr>
        <w:t>contra natura</w:t>
      </w:r>
      <w:r w:rsidRPr="00314376">
        <w:rPr>
          <w:rFonts w:eastAsia="Times New Roman"/>
          <w:lang w:val="es-ES" w:eastAsia="es-ES_tradnl"/>
        </w:rPr>
        <w:t xml:space="preserve"> de las relaciones sexuales de mujeres con mujeres, o de hombres entre sí. </w:t>
      </w:r>
    </w:p>
    <w:p w:rsidR="00314376" w:rsidRPr="00FB4C68" w:rsidRDefault="00314376" w:rsidP="00FB4C68">
      <w:r w:rsidRPr="00314376">
        <w:t xml:space="preserve">Para los autores de </w:t>
      </w:r>
      <w:r w:rsidR="00FB4C68">
        <w:t>“</w:t>
      </w:r>
      <w:r w:rsidR="00FB4C68" w:rsidRPr="00476E36">
        <w:rPr>
          <w:i/>
        </w:rPr>
        <w:t>Consideraciones sobre la homosexualidad en la Biblia</w:t>
      </w:r>
      <w:r w:rsidR="00FB4C68">
        <w:t xml:space="preserve">” y </w:t>
      </w:r>
      <w:proofErr w:type="gramStart"/>
      <w:r w:rsidR="00FB4C68">
        <w:t>de ”</w:t>
      </w:r>
      <w:proofErr w:type="spellStart"/>
      <w:r w:rsidR="00FB4C68" w:rsidRPr="00FB4C68">
        <w:rPr>
          <w:i/>
          <w:lang w:val="es-ES"/>
        </w:rPr>
        <w:t>Sessualità</w:t>
      </w:r>
      <w:proofErr w:type="spellEnd"/>
      <w:proofErr w:type="gramEnd"/>
      <w:r w:rsidR="00FB4C68" w:rsidRPr="00FB4C68">
        <w:rPr>
          <w:i/>
          <w:lang w:val="es-ES"/>
        </w:rPr>
        <w:t>, matrimonio e familia”</w:t>
      </w:r>
      <w:r w:rsidRPr="00FB4C68">
        <w:rPr>
          <w:rFonts w:cs="Times"/>
          <w:i/>
          <w:sz w:val="20"/>
          <w:szCs w:val="20"/>
        </w:rPr>
        <w:t xml:space="preserve"> </w:t>
      </w:r>
      <w:r w:rsidRPr="006A1B2E">
        <w:t>e</w:t>
      </w:r>
      <w:r w:rsidRPr="00314376">
        <w:t xml:space="preserve">l comportamiento homosexual que </w:t>
      </w:r>
      <w:r w:rsidR="00476E36">
        <w:t xml:space="preserve">Pablo </w:t>
      </w:r>
      <w:r w:rsidRPr="00314376">
        <w:t xml:space="preserve">observa en Corinto –desde donde escribe a los Romanos– </w:t>
      </w:r>
      <w:r w:rsidRPr="00314376">
        <w:rPr>
          <w:spacing w:val="16"/>
          <w:kern w:val="1"/>
        </w:rPr>
        <w:t xml:space="preserve">debió </w:t>
      </w:r>
      <w:r w:rsidRPr="00314376">
        <w:t xml:space="preserve">despertar su </w:t>
      </w:r>
      <w:r w:rsidRPr="00314376">
        <w:rPr>
          <w:spacing w:val="-4"/>
          <w:kern w:val="1"/>
        </w:rPr>
        <w:t>desaprobación</w:t>
      </w:r>
      <w:r w:rsidR="00476E36">
        <w:rPr>
          <w:spacing w:val="-4"/>
          <w:kern w:val="1"/>
        </w:rPr>
        <w:t xml:space="preserve"> </w:t>
      </w:r>
      <w:r w:rsidRPr="00314376">
        <w:rPr>
          <w:spacing w:val="-4"/>
          <w:kern w:val="1"/>
        </w:rPr>
        <w:t xml:space="preserve">de modo que </w:t>
      </w:r>
      <w:r w:rsidRPr="00314376">
        <w:rPr>
          <w:spacing w:val="-2"/>
          <w:kern w:val="1"/>
        </w:rPr>
        <w:t xml:space="preserve">emplea estos comportamientos como </w:t>
      </w:r>
      <w:r w:rsidRPr="00314376">
        <w:rPr>
          <w:iCs/>
        </w:rPr>
        <w:t>símbolos</w:t>
      </w:r>
      <w:r w:rsidRPr="00314376">
        <w:rPr>
          <w:i/>
          <w:iCs/>
        </w:rPr>
        <w:t xml:space="preserve"> </w:t>
      </w:r>
      <w:r w:rsidRPr="00314376">
        <w:rPr>
          <w:iCs/>
        </w:rPr>
        <w:t xml:space="preserve">del </w:t>
      </w:r>
      <w:r w:rsidRPr="00314376">
        <w:rPr>
          <w:spacing w:val="11"/>
          <w:kern w:val="1"/>
        </w:rPr>
        <w:t xml:space="preserve">desorden </w:t>
      </w:r>
      <w:r w:rsidRPr="00314376">
        <w:t xml:space="preserve">moral y </w:t>
      </w:r>
      <w:r w:rsidR="00476E36">
        <w:t>como</w:t>
      </w:r>
      <w:r w:rsidRPr="00314376">
        <w:t xml:space="preserve"> </w:t>
      </w:r>
      <w:r w:rsidRPr="00314376">
        <w:rPr>
          <w:iCs/>
        </w:rPr>
        <w:t>prueba</w:t>
      </w:r>
      <w:r w:rsidRPr="00314376">
        <w:rPr>
          <w:i/>
          <w:iCs/>
        </w:rPr>
        <w:t xml:space="preserve"> </w:t>
      </w:r>
      <w:r w:rsidRPr="00314376">
        <w:t>de la lejanía de Dios</w:t>
      </w:r>
      <w:r w:rsidR="002467DD">
        <w:t>. En el pasaje en el que se encuadran estos versículos el Apóstol</w:t>
      </w:r>
      <w:r w:rsidRPr="00314376">
        <w:t xml:space="preserve"> </w:t>
      </w:r>
      <w:r w:rsidRPr="00314376">
        <w:rPr>
          <w:rFonts w:eastAsia="Times New Roman"/>
          <w:lang w:val="es-ES" w:eastAsia="es-ES_tradnl"/>
        </w:rPr>
        <w:t>pone de manifiesto la relación que existe entre el rechazo de Dios y la inmoralidad, y en especial la homosexualidad</w:t>
      </w:r>
      <w:r w:rsidR="002467DD">
        <w:rPr>
          <w:rStyle w:val="Refdenotaalpie"/>
          <w:rFonts w:eastAsia="Times New Roman"/>
          <w:lang w:val="es-ES" w:eastAsia="es-ES_tradnl"/>
        </w:rPr>
        <w:footnoteReference w:id="13"/>
      </w:r>
      <w:r w:rsidRPr="00314376">
        <w:rPr>
          <w:rFonts w:eastAsia="Times New Roman"/>
          <w:lang w:val="es-ES" w:eastAsia="es-ES_tradnl"/>
        </w:rPr>
        <w:t xml:space="preserve">. </w:t>
      </w:r>
    </w:p>
    <w:p w:rsidR="00473283" w:rsidRPr="002467DD" w:rsidRDefault="00314376" w:rsidP="00831E06">
      <w:pPr>
        <w:rPr>
          <w:rFonts w:eastAsia="Times New Roman"/>
          <w:color w:val="000000" w:themeColor="text1"/>
          <w:lang w:val="es-ES" w:eastAsia="es-ES_tradnl"/>
        </w:rPr>
      </w:pPr>
      <w:r w:rsidRPr="002467DD">
        <w:rPr>
          <w:rFonts w:eastAsia="Times New Roman"/>
          <w:color w:val="000000" w:themeColor="text1"/>
          <w:lang w:val="es-ES" w:eastAsia="es-ES_tradnl"/>
        </w:rPr>
        <w:t>Por su parte</w:t>
      </w:r>
      <w:r w:rsidR="00623F70" w:rsidRPr="002467DD">
        <w:rPr>
          <w:rFonts w:eastAsia="Times New Roman"/>
          <w:color w:val="000000" w:themeColor="text1"/>
          <w:lang w:val="es-ES" w:eastAsia="es-ES_tradnl"/>
        </w:rPr>
        <w:t xml:space="preserve"> Shore-</w:t>
      </w:r>
      <w:proofErr w:type="spellStart"/>
      <w:r w:rsidR="00623F70" w:rsidRPr="002467DD">
        <w:rPr>
          <w:rFonts w:eastAsia="Times New Roman"/>
          <w:color w:val="000000" w:themeColor="text1"/>
          <w:lang w:val="es-ES" w:eastAsia="es-ES_tradnl"/>
        </w:rPr>
        <w:t>Gross</w:t>
      </w:r>
      <w:proofErr w:type="spellEnd"/>
      <w:r w:rsidR="00623F70" w:rsidRPr="002467DD">
        <w:rPr>
          <w:rFonts w:eastAsia="Times New Roman"/>
          <w:color w:val="000000" w:themeColor="text1"/>
          <w:lang w:val="es-ES" w:eastAsia="es-ES_tradnl"/>
        </w:rPr>
        <w:t xml:space="preserve">, Alexander </w:t>
      </w:r>
      <w:proofErr w:type="spellStart"/>
      <w:r w:rsidR="00623F70" w:rsidRPr="002467DD">
        <w:rPr>
          <w:rFonts w:eastAsia="Times New Roman"/>
          <w:color w:val="000000" w:themeColor="text1"/>
          <w:lang w:val="es-ES" w:eastAsia="es-ES_tradnl"/>
        </w:rPr>
        <w:t>Awi</w:t>
      </w:r>
      <w:proofErr w:type="spellEnd"/>
      <w:r w:rsidR="00623F70" w:rsidRPr="002467DD">
        <w:rPr>
          <w:rFonts w:eastAsia="Times New Roman"/>
          <w:color w:val="000000" w:themeColor="text1"/>
          <w:lang w:val="es-ES" w:eastAsia="es-ES_tradnl"/>
        </w:rPr>
        <w:t xml:space="preserve">, Don Eastman y </w:t>
      </w:r>
      <w:proofErr w:type="spellStart"/>
      <w:r w:rsidR="00623F70" w:rsidRPr="002467DD">
        <w:rPr>
          <w:rFonts w:eastAsia="Times New Roman"/>
          <w:color w:val="000000" w:themeColor="text1"/>
          <w:lang w:val="es-ES" w:eastAsia="es-ES_tradnl"/>
        </w:rPr>
        <w:t>Myles</w:t>
      </w:r>
      <w:proofErr w:type="spellEnd"/>
      <w:r w:rsidR="00623F70" w:rsidRPr="002467DD">
        <w:rPr>
          <w:rFonts w:eastAsia="Times New Roman"/>
          <w:color w:val="000000" w:themeColor="text1"/>
          <w:lang w:val="es-ES" w:eastAsia="es-ES_tradnl"/>
        </w:rPr>
        <w:t xml:space="preserve"> </w:t>
      </w:r>
      <w:proofErr w:type="spellStart"/>
      <w:r w:rsidR="00623F70" w:rsidRPr="002467DD">
        <w:rPr>
          <w:rFonts w:eastAsia="Times New Roman"/>
          <w:color w:val="000000" w:themeColor="text1"/>
          <w:lang w:val="es-ES" w:eastAsia="es-ES_tradnl"/>
        </w:rPr>
        <w:t>Markham</w:t>
      </w:r>
      <w:proofErr w:type="spellEnd"/>
      <w:r w:rsidR="00473283" w:rsidRPr="002467DD">
        <w:rPr>
          <w:rFonts w:eastAsia="Times New Roman"/>
          <w:color w:val="000000" w:themeColor="text1"/>
          <w:lang w:val="es-ES" w:eastAsia="es-ES_tradnl"/>
        </w:rPr>
        <w:t xml:space="preserve"> </w:t>
      </w:r>
      <w:r w:rsidRPr="002467DD">
        <w:rPr>
          <w:rFonts w:eastAsia="Times New Roman"/>
          <w:color w:val="000000" w:themeColor="text1"/>
          <w:lang w:val="es-ES" w:eastAsia="es-ES_tradnl"/>
        </w:rPr>
        <w:t>presenta</w:t>
      </w:r>
      <w:r w:rsidR="00623F70" w:rsidRPr="002467DD">
        <w:rPr>
          <w:rFonts w:eastAsia="Times New Roman"/>
          <w:color w:val="000000" w:themeColor="text1"/>
          <w:lang w:val="es-ES" w:eastAsia="es-ES_tradnl"/>
        </w:rPr>
        <w:t>n</w:t>
      </w:r>
      <w:r w:rsidRPr="002467DD">
        <w:rPr>
          <w:rFonts w:eastAsia="Times New Roman"/>
          <w:color w:val="000000" w:themeColor="text1"/>
          <w:lang w:val="es-ES" w:eastAsia="es-ES_tradnl"/>
        </w:rPr>
        <w:t xml:space="preserve"> la teoría de Mc </w:t>
      </w:r>
      <w:proofErr w:type="spellStart"/>
      <w:r w:rsidRPr="002467DD">
        <w:rPr>
          <w:rFonts w:eastAsia="Times New Roman"/>
          <w:color w:val="000000" w:themeColor="text1"/>
          <w:lang w:val="es-ES" w:eastAsia="es-ES_tradnl"/>
        </w:rPr>
        <w:t>Neill</w:t>
      </w:r>
      <w:proofErr w:type="spellEnd"/>
      <w:r w:rsidR="002D3F46" w:rsidRPr="002467DD">
        <w:rPr>
          <w:rFonts w:eastAsia="Times New Roman"/>
          <w:color w:val="000000" w:themeColor="text1"/>
          <w:lang w:val="es-ES" w:eastAsia="es-ES_tradnl"/>
        </w:rPr>
        <w:t xml:space="preserve"> </w:t>
      </w:r>
      <w:r w:rsidRPr="002467DD">
        <w:rPr>
          <w:rFonts w:eastAsia="Times New Roman"/>
          <w:color w:val="000000" w:themeColor="text1"/>
          <w:lang w:val="es-ES" w:eastAsia="es-ES_tradnl"/>
        </w:rPr>
        <w:t xml:space="preserve">que propugnan la ausencia de condena a los comportamientos homosexuales. </w:t>
      </w:r>
      <w:r w:rsidR="002D3F46" w:rsidRPr="002467DD">
        <w:rPr>
          <w:rFonts w:eastAsia="Times New Roman"/>
          <w:color w:val="000000" w:themeColor="text1"/>
          <w:lang w:val="es-ES" w:eastAsia="es-ES_tradnl"/>
        </w:rPr>
        <w:t>A</w:t>
      </w:r>
      <w:r w:rsidR="00623F70" w:rsidRPr="002467DD">
        <w:rPr>
          <w:rFonts w:eastAsia="Times New Roman"/>
          <w:color w:val="000000" w:themeColor="text1"/>
          <w:lang w:val="es-ES" w:eastAsia="es-ES_tradnl"/>
        </w:rPr>
        <w:t>rgumenta que</w:t>
      </w:r>
      <w:r w:rsidR="002D3F46" w:rsidRPr="002467DD">
        <w:rPr>
          <w:rFonts w:eastAsia="Times New Roman"/>
          <w:color w:val="000000" w:themeColor="text1"/>
          <w:lang w:val="es-ES" w:eastAsia="es-ES_tradnl"/>
        </w:rPr>
        <w:t>,</w:t>
      </w:r>
      <w:r w:rsidR="00623F70" w:rsidRPr="002467DD">
        <w:rPr>
          <w:rFonts w:eastAsia="Times New Roman"/>
          <w:color w:val="000000" w:themeColor="text1"/>
          <w:lang w:val="es-ES" w:eastAsia="es-ES_tradnl"/>
        </w:rPr>
        <w:t xml:space="preserve"> en texto en estudio, cuando Pablo habla de “</w:t>
      </w:r>
      <w:r w:rsidR="00623F70" w:rsidRPr="002467DD">
        <w:rPr>
          <w:rFonts w:eastAsia="Times New Roman"/>
          <w:i/>
          <w:color w:val="000000" w:themeColor="text1"/>
          <w:lang w:val="es-ES" w:eastAsia="es-ES_tradnl"/>
        </w:rPr>
        <w:t>dejando el u</w:t>
      </w:r>
      <w:r w:rsidR="002D3F46" w:rsidRPr="002467DD">
        <w:rPr>
          <w:rFonts w:eastAsia="Times New Roman"/>
          <w:i/>
          <w:color w:val="000000" w:themeColor="text1"/>
          <w:lang w:val="es-ES" w:eastAsia="es-ES_tradnl"/>
        </w:rPr>
        <w:t>so</w:t>
      </w:r>
      <w:r w:rsidR="00623F70" w:rsidRPr="002467DD">
        <w:rPr>
          <w:rFonts w:eastAsia="Times New Roman"/>
          <w:i/>
          <w:color w:val="000000" w:themeColor="text1"/>
          <w:lang w:val="es-ES" w:eastAsia="es-ES_tradnl"/>
        </w:rPr>
        <w:t xml:space="preserve"> natural”</w:t>
      </w:r>
      <w:r w:rsidR="00623F70" w:rsidRPr="002467DD">
        <w:rPr>
          <w:rFonts w:eastAsia="Times New Roman"/>
          <w:color w:val="000000" w:themeColor="text1"/>
          <w:lang w:val="es-ES" w:eastAsia="es-ES_tradnl"/>
        </w:rPr>
        <w:t xml:space="preserve"> se refiere a que los que realizan la acción no son </w:t>
      </w:r>
      <w:r w:rsidR="00623F70" w:rsidRPr="002467DD">
        <w:rPr>
          <w:rFonts w:eastAsia="Times New Roman"/>
          <w:i/>
          <w:color w:val="000000" w:themeColor="text1"/>
          <w:lang w:val="es-ES" w:eastAsia="es-ES_tradnl"/>
        </w:rPr>
        <w:t>naturalmente</w:t>
      </w:r>
      <w:r w:rsidR="00623F70" w:rsidRPr="002467DD">
        <w:rPr>
          <w:rFonts w:eastAsia="Times New Roman"/>
          <w:color w:val="000000" w:themeColor="text1"/>
          <w:lang w:val="es-ES" w:eastAsia="es-ES_tradnl"/>
        </w:rPr>
        <w:t xml:space="preserve"> homosexuales, sino heterosexuales que mantienen relaciones homosexuales, por lo tanto</w:t>
      </w:r>
      <w:r w:rsidR="002D3F46" w:rsidRPr="002467DD">
        <w:rPr>
          <w:rFonts w:eastAsia="Times New Roman"/>
          <w:color w:val="000000" w:themeColor="text1"/>
          <w:lang w:val="es-ES" w:eastAsia="es-ES_tradnl"/>
        </w:rPr>
        <w:t>,</w:t>
      </w:r>
      <w:r w:rsidRPr="002467DD">
        <w:rPr>
          <w:rFonts w:eastAsia="Times New Roman"/>
          <w:color w:val="000000" w:themeColor="text1"/>
          <w:lang w:val="es-ES" w:eastAsia="es-ES_tradnl"/>
        </w:rPr>
        <w:t xml:space="preserve"> </w:t>
      </w:r>
      <w:r w:rsidR="00623F70" w:rsidRPr="002467DD">
        <w:rPr>
          <w:rFonts w:eastAsia="Times New Roman"/>
          <w:color w:val="000000" w:themeColor="text1"/>
          <w:lang w:val="es-ES" w:eastAsia="es-ES_tradnl"/>
        </w:rPr>
        <w:t>considera</w:t>
      </w:r>
      <w:r w:rsidRPr="002467DD">
        <w:rPr>
          <w:rFonts w:eastAsia="Times New Roman"/>
          <w:color w:val="000000" w:themeColor="text1"/>
          <w:lang w:val="es-ES" w:eastAsia="es-ES_tradnl"/>
        </w:rPr>
        <w:t xml:space="preserve"> que el sentido del texto es que los actos homosexuales que condena Pablo no son practicados por verdaderos homosexuales, sino por heterosexuales que </w:t>
      </w:r>
      <w:r w:rsidR="00623F70" w:rsidRPr="002467DD">
        <w:rPr>
          <w:rFonts w:eastAsia="Times New Roman"/>
          <w:color w:val="000000" w:themeColor="text1"/>
          <w:lang w:val="es-ES" w:eastAsia="es-ES_tradnl"/>
        </w:rPr>
        <w:t xml:space="preserve">actuarían </w:t>
      </w:r>
      <w:r w:rsidR="00623F70" w:rsidRPr="002467DD">
        <w:rPr>
          <w:rFonts w:eastAsia="Times New Roman"/>
          <w:i/>
          <w:color w:val="000000" w:themeColor="text1"/>
          <w:lang w:val="es-ES" w:eastAsia="es-ES_tradnl"/>
        </w:rPr>
        <w:t>contra-natura</w:t>
      </w:r>
      <w:r w:rsidR="002467DD">
        <w:rPr>
          <w:rFonts w:eastAsia="Times New Roman"/>
          <w:color w:val="000000" w:themeColor="text1"/>
          <w:lang w:val="es-ES" w:eastAsia="es-ES_tradnl"/>
        </w:rPr>
        <w:t xml:space="preserve"> según la</w:t>
      </w:r>
      <w:r w:rsidR="002467DD" w:rsidRPr="002467DD">
        <w:rPr>
          <w:rFonts w:eastAsia="Times New Roman"/>
          <w:color w:val="000000" w:themeColor="text1"/>
          <w:lang w:val="es-ES" w:eastAsia="es-ES_tradnl"/>
        </w:rPr>
        <w:t xml:space="preserve"> costumbre pagana de los prostitutos sagrados y los concubinos</w:t>
      </w:r>
      <w:r w:rsidR="002467DD" w:rsidRPr="002467DD">
        <w:rPr>
          <w:rStyle w:val="Refdenotaalpie"/>
          <w:rFonts w:eastAsia="Times New Roman"/>
          <w:color w:val="000000" w:themeColor="text1"/>
          <w:lang w:val="es-ES" w:eastAsia="es-ES_tradnl"/>
        </w:rPr>
        <w:footnoteReference w:id="14"/>
      </w:r>
      <w:r w:rsidR="002467DD" w:rsidRPr="002467DD">
        <w:rPr>
          <w:rFonts w:eastAsia="Times New Roman"/>
          <w:color w:val="000000" w:themeColor="text1"/>
          <w:lang w:val="es-ES" w:eastAsia="es-ES_tradnl"/>
        </w:rPr>
        <w:t>.</w:t>
      </w:r>
    </w:p>
    <w:p w:rsidR="00831E06" w:rsidRPr="000772EF" w:rsidRDefault="002D3F46" w:rsidP="000772EF">
      <w:pPr>
        <w:rPr>
          <w:rFonts w:ascii="Times New Roman" w:eastAsia="Times New Roman" w:hAnsi="Times New Roman"/>
          <w:sz w:val="24"/>
          <w:szCs w:val="24"/>
          <w:lang w:val="es-ES" w:eastAsia="es-ES_tradnl"/>
        </w:rPr>
      </w:pPr>
      <w:r>
        <w:rPr>
          <w:rFonts w:eastAsia="Times New Roman"/>
          <w:shd w:val="clear" w:color="auto" w:fill="FFFFFF"/>
          <w:lang w:val="es-ES" w:eastAsia="es-ES_tradnl"/>
        </w:rPr>
        <w:t xml:space="preserve">Por último, </w:t>
      </w:r>
      <w:r w:rsidR="009D4A9E">
        <w:rPr>
          <w:rFonts w:eastAsia="Times New Roman"/>
          <w:lang w:val="es-ES" w:eastAsia="es-ES_tradnl"/>
        </w:rPr>
        <w:t>Jean-</w:t>
      </w:r>
      <w:proofErr w:type="spellStart"/>
      <w:r w:rsidR="009D4A9E">
        <w:rPr>
          <w:rFonts w:eastAsia="Times New Roman"/>
          <w:lang w:val="es-ES" w:eastAsia="es-ES_tradnl"/>
        </w:rPr>
        <w:t>Baptiste</w:t>
      </w:r>
      <w:proofErr w:type="spellEnd"/>
      <w:r w:rsidR="009D4A9E">
        <w:rPr>
          <w:rFonts w:eastAsia="Times New Roman"/>
          <w:lang w:val="es-ES" w:eastAsia="es-ES_tradnl"/>
        </w:rPr>
        <w:t xml:space="preserve"> </w:t>
      </w:r>
      <w:proofErr w:type="spellStart"/>
      <w:r w:rsidR="009D4A9E">
        <w:rPr>
          <w:rFonts w:eastAsia="Times New Roman"/>
          <w:lang w:val="es-ES" w:eastAsia="es-ES_tradnl"/>
        </w:rPr>
        <w:t>Edart</w:t>
      </w:r>
      <w:proofErr w:type="spellEnd"/>
      <w:r w:rsidR="009D4A9E">
        <w:rPr>
          <w:rFonts w:eastAsia="Times New Roman"/>
          <w:shd w:val="clear" w:color="auto" w:fill="FFFFFF"/>
          <w:lang w:val="es-ES" w:eastAsia="es-ES_tradnl"/>
        </w:rPr>
        <w:t xml:space="preserve"> destaca la condena de las relaciones </w:t>
      </w:r>
      <w:r w:rsidR="009D4A9E">
        <w:rPr>
          <w:rFonts w:eastAsia="Times New Roman"/>
          <w:i/>
          <w:shd w:val="clear" w:color="auto" w:fill="FFFFFF"/>
          <w:lang w:val="es-ES" w:eastAsia="es-ES_tradnl"/>
        </w:rPr>
        <w:t xml:space="preserve">contra-natura </w:t>
      </w:r>
      <w:r w:rsidR="009D4A9E">
        <w:rPr>
          <w:rFonts w:eastAsia="Times New Roman"/>
          <w:shd w:val="clear" w:color="auto" w:fill="FFFFFF"/>
          <w:lang w:val="es-ES" w:eastAsia="es-ES_tradnl"/>
        </w:rPr>
        <w:t>entre mujeres –“</w:t>
      </w:r>
      <w:r w:rsidR="009D4A9E" w:rsidRPr="00314376">
        <w:rPr>
          <w:rFonts w:eastAsia="Times New Roman"/>
          <w:i/>
          <w:lang w:val="es-ES" w:eastAsia="es-ES_tradnl"/>
        </w:rPr>
        <w:t>sus mujeres cambiaron el uso natural por el que es contrario a la naturaleza</w:t>
      </w:r>
      <w:r w:rsidR="009D4A9E">
        <w:rPr>
          <w:rFonts w:eastAsia="Times New Roman"/>
          <w:shd w:val="clear" w:color="auto" w:fill="FFFFFF"/>
          <w:lang w:val="es-ES" w:eastAsia="es-ES_tradnl"/>
        </w:rPr>
        <w:t xml:space="preserve">”–, que es única en la Biblia, y se pregunta porqué emplea para hablar de estas relaciones una perífrasis pues, a continuación, condena con claridad las relaciones homosexuales entre hombres. Para </w:t>
      </w:r>
      <w:r w:rsidR="002467DD">
        <w:rPr>
          <w:rFonts w:eastAsia="Times New Roman"/>
          <w:shd w:val="clear" w:color="auto" w:fill="FFFFFF"/>
          <w:lang w:val="es-ES" w:eastAsia="es-ES_tradnl"/>
        </w:rPr>
        <w:t>este autor</w:t>
      </w:r>
      <w:r w:rsidR="009D4A9E">
        <w:rPr>
          <w:rFonts w:eastAsia="Times New Roman"/>
          <w:shd w:val="clear" w:color="auto" w:fill="FFFFFF"/>
          <w:lang w:val="es-ES" w:eastAsia="es-ES_tradnl"/>
        </w:rPr>
        <w:t xml:space="preserve"> es importante recordad que el texto no está concebido para condenar la homosexualidad, sino que se emplean los actos homosexuales como ejemplo de a lo que lleva cambiar el orden natural de adoración debido a Dios por el de la adoración a los ídolos</w:t>
      </w:r>
      <w:r w:rsidR="002467DD">
        <w:rPr>
          <w:rFonts w:eastAsia="Times New Roman"/>
          <w:shd w:val="clear" w:color="auto" w:fill="FFFFFF"/>
          <w:lang w:val="es-ES" w:eastAsia="es-ES_tradnl"/>
        </w:rPr>
        <w:t>,</w:t>
      </w:r>
      <w:r w:rsidR="009D4A9E">
        <w:rPr>
          <w:rFonts w:eastAsia="Times New Roman"/>
          <w:shd w:val="clear" w:color="auto" w:fill="FFFFFF"/>
          <w:lang w:val="es-ES" w:eastAsia="es-ES_tradnl"/>
        </w:rPr>
        <w:t xml:space="preserve"> que acaban por corromper al hombre y a la mujer que caen en ella, al modo en que los actos homosexuales corrompen el u</w:t>
      </w:r>
      <w:r w:rsidR="002467DD">
        <w:rPr>
          <w:rFonts w:eastAsia="Times New Roman"/>
          <w:shd w:val="clear" w:color="auto" w:fill="FFFFFF"/>
          <w:lang w:val="es-ES" w:eastAsia="es-ES_tradnl"/>
        </w:rPr>
        <w:t>so</w:t>
      </w:r>
      <w:r w:rsidR="009D4A9E">
        <w:rPr>
          <w:rFonts w:eastAsia="Times New Roman"/>
          <w:shd w:val="clear" w:color="auto" w:fill="FFFFFF"/>
          <w:lang w:val="es-ES" w:eastAsia="es-ES_tradnl"/>
        </w:rPr>
        <w:t xml:space="preserve"> </w:t>
      </w:r>
      <w:r w:rsidR="009D4A9E">
        <w:rPr>
          <w:rFonts w:eastAsia="Times New Roman"/>
          <w:i/>
          <w:shd w:val="clear" w:color="auto" w:fill="FFFFFF"/>
          <w:lang w:val="es-ES" w:eastAsia="es-ES_tradnl"/>
        </w:rPr>
        <w:t xml:space="preserve">natural </w:t>
      </w:r>
      <w:r w:rsidR="009D4A9E">
        <w:rPr>
          <w:rFonts w:eastAsia="Times New Roman"/>
          <w:shd w:val="clear" w:color="auto" w:fill="FFFFFF"/>
          <w:lang w:val="es-ES" w:eastAsia="es-ES_tradnl"/>
        </w:rPr>
        <w:t xml:space="preserve">de la sexualidad. </w:t>
      </w:r>
      <w:r w:rsidR="002467DD">
        <w:rPr>
          <w:rFonts w:eastAsia="Times New Roman"/>
          <w:shd w:val="clear" w:color="auto" w:fill="FFFFFF"/>
          <w:lang w:val="es-ES" w:eastAsia="es-ES_tradnl"/>
        </w:rPr>
        <w:t>Leyendo el texto en su totalidad, resulta claro que</w:t>
      </w:r>
      <w:r w:rsidR="009D4A9E">
        <w:rPr>
          <w:rFonts w:eastAsia="Times New Roman"/>
          <w:shd w:val="clear" w:color="auto" w:fill="FFFFFF"/>
          <w:lang w:val="es-ES" w:eastAsia="es-ES_tradnl"/>
        </w:rPr>
        <w:t xml:space="preserve"> hay una clara condena de los actos homosexuales –entre hombres, o entre mujeres–, expresada en forma de paralelismo</w:t>
      </w:r>
      <w:r w:rsidR="002467DD">
        <w:rPr>
          <w:rFonts w:eastAsia="Times New Roman"/>
          <w:shd w:val="clear" w:color="auto" w:fill="FFFFFF"/>
          <w:lang w:val="es-ES" w:eastAsia="es-ES_tradnl"/>
        </w:rPr>
        <w:t xml:space="preserve"> por motivos de estilo, porque yendo al fondo del asunto, san Pablo considera que, del modo en que la idolatría corrompe al hombre al hacer un acto </w:t>
      </w:r>
      <w:r w:rsidR="002467DD">
        <w:rPr>
          <w:rFonts w:eastAsia="Times New Roman"/>
          <w:i/>
          <w:shd w:val="clear" w:color="auto" w:fill="FFFFFF"/>
          <w:lang w:val="es-ES" w:eastAsia="es-ES_tradnl"/>
        </w:rPr>
        <w:t>contra-natura</w:t>
      </w:r>
      <w:r w:rsidR="002467DD">
        <w:rPr>
          <w:rFonts w:eastAsia="Times New Roman"/>
          <w:shd w:val="clear" w:color="auto" w:fill="FFFFFF"/>
          <w:lang w:val="es-ES" w:eastAsia="es-ES_tradnl"/>
        </w:rPr>
        <w:t xml:space="preserve"> de adoración, del mismo modo, las relaciones sexuales entre personas de igual sexo, corrompen a la persona, al apartarse de su uso </w:t>
      </w:r>
      <w:r w:rsidR="002467DD">
        <w:rPr>
          <w:rFonts w:eastAsia="Times New Roman"/>
          <w:i/>
          <w:shd w:val="clear" w:color="auto" w:fill="FFFFFF"/>
          <w:lang w:val="es-ES" w:eastAsia="es-ES_tradnl"/>
        </w:rPr>
        <w:t>natural</w:t>
      </w:r>
      <w:r w:rsidR="009D4A9E">
        <w:rPr>
          <w:rFonts w:eastAsia="Times New Roman"/>
          <w:shd w:val="clear" w:color="auto" w:fill="FFFFFF"/>
          <w:lang w:val="es-ES" w:eastAsia="es-ES_tradnl"/>
        </w:rPr>
        <w:t>.</w:t>
      </w:r>
    </w:p>
    <w:p w:rsidR="00761EBA" w:rsidRDefault="00314376" w:rsidP="00714055">
      <w:pPr>
        <w:pStyle w:val="Ttulo1"/>
        <w:numPr>
          <w:ilvl w:val="0"/>
          <w:numId w:val="7"/>
        </w:numPr>
        <w:rPr>
          <w:lang w:val="es-ES"/>
        </w:rPr>
      </w:pPr>
      <w:r>
        <w:rPr>
          <w:lang w:val="es-ES"/>
        </w:rPr>
        <w:t>Conclusiones</w:t>
      </w:r>
    </w:p>
    <w:p w:rsidR="00611B0A" w:rsidRDefault="00611B0A" w:rsidP="005D6BDB">
      <w:pPr>
        <w:rPr>
          <w:rFonts w:eastAsia="Times New Roman"/>
          <w:lang w:val="es-ES" w:eastAsia="es-ES_tradnl"/>
        </w:rPr>
      </w:pPr>
      <w:r>
        <w:rPr>
          <w:rFonts w:eastAsia="Times New Roman"/>
          <w:lang w:val="es-ES" w:eastAsia="es-ES_tradnl"/>
        </w:rPr>
        <w:t>El estudio de la homosexualidad en Nuevo Testamento está centrado, como hemos visto, en tres textos</w:t>
      </w:r>
      <w:r w:rsidR="009C6BAD">
        <w:rPr>
          <w:rFonts w:eastAsia="Times New Roman"/>
          <w:lang w:val="es-ES" w:eastAsia="es-ES_tradnl"/>
        </w:rPr>
        <w:t>. En dos de ellos</w:t>
      </w:r>
      <w:r>
        <w:rPr>
          <w:rFonts w:eastAsia="Times New Roman"/>
          <w:lang w:val="es-ES" w:eastAsia="es-ES_tradnl"/>
        </w:rPr>
        <w:t xml:space="preserve"> san Pablo habla de vicios sexuales –1Co y </w:t>
      </w:r>
      <w:r w:rsidR="009C6BAD">
        <w:rPr>
          <w:rFonts w:eastAsia="Times New Roman"/>
          <w:lang w:val="es-ES" w:eastAsia="es-ES_tradnl"/>
        </w:rPr>
        <w:t>1</w:t>
      </w:r>
      <w:r>
        <w:rPr>
          <w:rFonts w:eastAsia="Times New Roman"/>
          <w:lang w:val="es-ES" w:eastAsia="es-ES_tradnl"/>
        </w:rPr>
        <w:t xml:space="preserve">Tim– </w:t>
      </w:r>
      <w:r w:rsidR="009C6BAD">
        <w:rPr>
          <w:rFonts w:eastAsia="Times New Roman"/>
          <w:lang w:val="es-ES" w:eastAsia="es-ES_tradnl"/>
        </w:rPr>
        <w:t>y en el tercero</w:t>
      </w:r>
      <w:r>
        <w:rPr>
          <w:rFonts w:eastAsia="Times New Roman"/>
          <w:lang w:val="es-ES" w:eastAsia="es-ES_tradnl"/>
        </w:rPr>
        <w:t xml:space="preserve"> emplea</w:t>
      </w:r>
      <w:r w:rsidR="009C6BAD">
        <w:rPr>
          <w:rFonts w:eastAsia="Times New Roman"/>
          <w:lang w:val="es-ES" w:eastAsia="es-ES_tradnl"/>
        </w:rPr>
        <w:t xml:space="preserve"> los actos </w:t>
      </w:r>
      <w:r w:rsidR="009C6BAD">
        <w:rPr>
          <w:rFonts w:eastAsia="Times New Roman"/>
          <w:i/>
          <w:lang w:val="es-ES" w:eastAsia="es-ES_tradnl"/>
        </w:rPr>
        <w:t>homosexuales</w:t>
      </w:r>
      <w:r>
        <w:rPr>
          <w:rFonts w:eastAsia="Times New Roman"/>
          <w:lang w:val="es-ES" w:eastAsia="es-ES_tradnl"/>
        </w:rPr>
        <w:t xml:space="preserve"> como </w:t>
      </w:r>
      <w:r w:rsidR="000772EF">
        <w:rPr>
          <w:rFonts w:eastAsia="Times New Roman"/>
          <w:lang w:val="es-ES" w:eastAsia="es-ES_tradnl"/>
        </w:rPr>
        <w:t>comparación</w:t>
      </w:r>
      <w:r>
        <w:rPr>
          <w:rFonts w:eastAsia="Times New Roman"/>
          <w:lang w:val="es-ES" w:eastAsia="es-ES_tradnl"/>
        </w:rPr>
        <w:t xml:space="preserve"> para explicar el mal de</w:t>
      </w:r>
      <w:r w:rsidR="000772EF">
        <w:rPr>
          <w:rFonts w:eastAsia="Times New Roman"/>
          <w:lang w:val="es-ES" w:eastAsia="es-ES_tradnl"/>
        </w:rPr>
        <w:t xml:space="preserve"> </w:t>
      </w:r>
      <w:r>
        <w:rPr>
          <w:rFonts w:eastAsia="Times New Roman"/>
          <w:lang w:val="es-ES" w:eastAsia="es-ES_tradnl"/>
        </w:rPr>
        <w:t>la idolatría en la carta a los Romanos. Los textos estudiados se centran en bu</w:t>
      </w:r>
      <w:r w:rsidR="000772EF">
        <w:rPr>
          <w:rFonts w:eastAsia="Times New Roman"/>
          <w:lang w:val="es-ES" w:eastAsia="es-ES_tradnl"/>
        </w:rPr>
        <w:t>e</w:t>
      </w:r>
      <w:r>
        <w:rPr>
          <w:rFonts w:eastAsia="Times New Roman"/>
          <w:lang w:val="es-ES" w:eastAsia="es-ES_tradnl"/>
        </w:rPr>
        <w:t xml:space="preserve">na parte en razones exegéticas y culturales para analizarlos. </w:t>
      </w:r>
      <w:r w:rsidR="002E2A84">
        <w:rPr>
          <w:rFonts w:eastAsia="Times New Roman"/>
          <w:lang w:val="es-ES" w:eastAsia="es-ES_tradnl"/>
        </w:rPr>
        <w:t xml:space="preserve">Como hemos dicho en la Introducción, resulta necesario realizar el estudio a la luz, no solo de la exégesis bíblica, sino junto con la </w:t>
      </w:r>
      <w:r w:rsidR="002E2A84">
        <w:rPr>
          <w:rFonts w:eastAsia="Times New Roman"/>
          <w:lang w:val="es-ES" w:eastAsia="es-ES_tradnl"/>
        </w:rPr>
        <w:lastRenderedPageBreak/>
        <w:t>Tradición y el Magisterio. Esto resulta más necesario esta vez, cuando encontramos que tanto la Tradición como el Magisterio son unánimes y continuos en la interpretación de estos textos.</w:t>
      </w:r>
    </w:p>
    <w:p w:rsidR="007B13D5" w:rsidRPr="007B13D5" w:rsidRDefault="002E2A84" w:rsidP="007B13D5">
      <w:pPr>
        <w:rPr>
          <w:rFonts w:eastAsia="Times New Roman"/>
          <w:lang w:val="es-ES" w:eastAsia="es-ES_tradnl"/>
        </w:rPr>
      </w:pPr>
      <w:r>
        <w:rPr>
          <w:rFonts w:eastAsia="Times New Roman"/>
          <w:lang w:val="es-ES" w:eastAsia="es-ES_tradnl"/>
        </w:rPr>
        <w:t>Por otra parte,</w:t>
      </w:r>
      <w:r w:rsidR="000772EF">
        <w:rPr>
          <w:rFonts w:eastAsia="Times New Roman"/>
          <w:lang w:val="es-ES" w:eastAsia="es-ES_tradnl"/>
        </w:rPr>
        <w:t xml:space="preserve"> para poder hacer una crítica a los autores estudiados, es necesario recordar que, desde que </w:t>
      </w:r>
      <w:r w:rsidR="00611B0A">
        <w:rPr>
          <w:rFonts w:eastAsia="Times New Roman"/>
          <w:lang w:val="es-ES" w:eastAsia="es-ES_tradnl"/>
        </w:rPr>
        <w:t>san Pablo escribió estos textos</w:t>
      </w:r>
      <w:r w:rsidR="000772EF">
        <w:rPr>
          <w:rFonts w:eastAsia="Times New Roman"/>
          <w:lang w:val="es-ES" w:eastAsia="es-ES_tradnl"/>
        </w:rPr>
        <w:t xml:space="preserve"> </w:t>
      </w:r>
      <w:r w:rsidR="00611B0A">
        <w:rPr>
          <w:rFonts w:eastAsia="Times New Roman"/>
          <w:lang w:val="es-ES" w:eastAsia="es-ES_tradnl"/>
        </w:rPr>
        <w:t xml:space="preserve">la comprensión sobre qué es la homosexualidad ha evolucionado mucho, hasta el punto de que en la actualidad muchas personas consideran la homosexualidad una situación </w:t>
      </w:r>
      <w:r w:rsidR="00611B0A">
        <w:rPr>
          <w:rFonts w:eastAsia="Times New Roman"/>
          <w:i/>
          <w:lang w:val="es-ES" w:eastAsia="es-ES_tradnl"/>
        </w:rPr>
        <w:t>tan natural</w:t>
      </w:r>
      <w:r w:rsidR="00611B0A">
        <w:rPr>
          <w:rFonts w:eastAsia="Times New Roman"/>
          <w:lang w:val="es-ES" w:eastAsia="es-ES_tradnl"/>
        </w:rPr>
        <w:t xml:space="preserve"> como la heterosexualidad. </w:t>
      </w:r>
      <w:r w:rsidR="000772EF">
        <w:rPr>
          <w:rFonts w:eastAsia="Times New Roman"/>
          <w:lang w:val="es-ES" w:eastAsia="es-ES_tradnl"/>
        </w:rPr>
        <w:t>Hay una mayoría social que defiende que heterosexualidad y homosexualidad son</w:t>
      </w:r>
      <w:r w:rsidR="00611B0A">
        <w:rPr>
          <w:rFonts w:eastAsia="Times New Roman"/>
          <w:lang w:val="es-ES" w:eastAsia="es-ES_tradnl"/>
        </w:rPr>
        <w:t xml:space="preserve"> dos condiciones de la persona sobre la que no hay nada que decir; aspectos psicológicos de cada uno, sobre los que no </w:t>
      </w:r>
      <w:r w:rsidR="000772EF">
        <w:rPr>
          <w:rFonts w:eastAsia="Times New Roman"/>
          <w:lang w:val="es-ES" w:eastAsia="es-ES_tradnl"/>
        </w:rPr>
        <w:t xml:space="preserve">corresponde hacer </w:t>
      </w:r>
      <w:r>
        <w:rPr>
          <w:rFonts w:eastAsia="Times New Roman"/>
          <w:lang w:val="es-ES" w:eastAsia="es-ES_tradnl"/>
        </w:rPr>
        <w:t xml:space="preserve">una </w:t>
      </w:r>
      <w:r w:rsidR="000772EF">
        <w:rPr>
          <w:rFonts w:eastAsia="Times New Roman"/>
          <w:lang w:val="es-ES" w:eastAsia="es-ES_tradnl"/>
        </w:rPr>
        <w:t>valoración moral</w:t>
      </w:r>
      <w:r w:rsidR="00611B0A">
        <w:rPr>
          <w:rFonts w:eastAsia="Times New Roman"/>
          <w:lang w:val="es-ES" w:eastAsia="es-ES_tradnl"/>
        </w:rPr>
        <w:t xml:space="preserve">. </w:t>
      </w:r>
      <w:r>
        <w:rPr>
          <w:rFonts w:eastAsia="Times New Roman"/>
          <w:lang w:val="es-ES" w:eastAsia="es-ES_tradnl"/>
        </w:rPr>
        <w:t>Esta consideración –me parece</w:t>
      </w:r>
      <w:r>
        <w:rPr>
          <w:rFonts w:eastAsia="Times New Roman"/>
          <w:lang w:val="es-ES" w:eastAsia="es-ES_tradnl"/>
        </w:rPr>
        <w:softHyphen/>
        <w:t xml:space="preserve"> está en la base de las posiciones de unos y otros autores, puesto que considerar la homosexualidad una </w:t>
      </w:r>
      <w:r w:rsidR="007B13D5">
        <w:rPr>
          <w:rFonts w:eastAsia="Times New Roman"/>
          <w:lang w:val="es-ES" w:eastAsia="es-ES_tradnl"/>
        </w:rPr>
        <w:t xml:space="preserve">opción </w:t>
      </w:r>
      <w:r w:rsidR="007B13D5">
        <w:rPr>
          <w:rFonts w:eastAsia="Times New Roman"/>
          <w:i/>
          <w:lang w:val="es-ES" w:eastAsia="es-ES_tradnl"/>
        </w:rPr>
        <w:t>natural</w:t>
      </w:r>
      <w:r w:rsidR="007B13D5">
        <w:rPr>
          <w:rFonts w:eastAsia="Times New Roman"/>
          <w:lang w:val="es-ES" w:eastAsia="es-ES_tradnl"/>
        </w:rPr>
        <w:t xml:space="preserve"> cuando es profunda y verdadera</w:t>
      </w:r>
      <w:r w:rsidR="00BE5A29">
        <w:rPr>
          <w:rStyle w:val="Refdenotaalpie"/>
          <w:rFonts w:eastAsia="Times New Roman"/>
          <w:i/>
          <w:lang w:val="es-ES" w:eastAsia="es-ES_tradnl"/>
        </w:rPr>
        <w:footnoteReference w:id="15"/>
      </w:r>
      <w:r w:rsidR="007B13D5">
        <w:rPr>
          <w:rFonts w:eastAsia="Times New Roman"/>
          <w:lang w:val="es-ES" w:eastAsia="es-ES_tradnl"/>
        </w:rPr>
        <w:t xml:space="preserve">, comporta que la tendencia a amar personas de igual sexo puede ser incluida en la doctrina de Cristo de </w:t>
      </w:r>
      <w:r w:rsidR="007B13D5" w:rsidRPr="007B13D5">
        <w:rPr>
          <w:rFonts w:eastAsia="Times New Roman"/>
          <w:i/>
          <w:lang w:val="es-ES" w:eastAsia="es-ES_tradnl"/>
        </w:rPr>
        <w:t>“Éste es mi mandamiento: que os améis los unos a los otros como yo os he amado.</w:t>
      </w:r>
      <w:r w:rsidR="007B13D5">
        <w:rPr>
          <w:rFonts w:eastAsia="Times New Roman"/>
          <w:lang w:val="es-ES" w:eastAsia="es-ES_tradnl"/>
        </w:rPr>
        <w:t>” (</w:t>
      </w:r>
      <w:proofErr w:type="spellStart"/>
      <w:r w:rsidR="007B13D5">
        <w:rPr>
          <w:rFonts w:eastAsia="Times New Roman"/>
          <w:lang w:val="es-ES" w:eastAsia="es-ES_tradnl"/>
        </w:rPr>
        <w:t>Jn</w:t>
      </w:r>
      <w:proofErr w:type="spellEnd"/>
      <w:r w:rsidR="007B13D5">
        <w:rPr>
          <w:rFonts w:eastAsia="Times New Roman"/>
          <w:lang w:val="es-ES" w:eastAsia="es-ES_tradnl"/>
        </w:rPr>
        <w:t xml:space="preserve"> 15, 18) y, por lo tanto, los textos estudiados no pueden condenar a los homosexuales, que son queridos por Dios. </w:t>
      </w:r>
      <w:r w:rsidR="00BE5A29">
        <w:rPr>
          <w:rFonts w:eastAsia="Times New Roman"/>
          <w:lang w:val="es-ES" w:eastAsia="es-ES_tradnl"/>
        </w:rPr>
        <w:t xml:space="preserve">Empleando este esquema, </w:t>
      </w:r>
    </w:p>
    <w:p w:rsidR="00437859" w:rsidRDefault="007B13D5" w:rsidP="00437859">
      <w:pPr>
        <w:rPr>
          <w:rFonts w:eastAsia="Times New Roman"/>
          <w:lang w:val="es-ES" w:eastAsia="es-ES_tradnl"/>
        </w:rPr>
      </w:pPr>
      <w:r>
        <w:rPr>
          <w:rFonts w:eastAsia="Times New Roman"/>
          <w:lang w:val="es-ES" w:eastAsia="es-ES_tradnl"/>
        </w:rPr>
        <w:t>Esta concepción de la homosexualidad</w:t>
      </w:r>
      <w:r>
        <w:rPr>
          <w:rFonts w:eastAsia="Times New Roman"/>
          <w:lang w:val="es-ES" w:eastAsia="es-ES_tradnl"/>
        </w:rPr>
        <w:t xml:space="preserve"> es de tal </w:t>
      </w:r>
      <w:r w:rsidR="000772EF">
        <w:rPr>
          <w:rFonts w:eastAsia="Times New Roman"/>
          <w:lang w:val="es-ES" w:eastAsia="es-ES_tradnl"/>
        </w:rPr>
        <w:t xml:space="preserve">trascendencia </w:t>
      </w:r>
      <w:r w:rsidR="00437859">
        <w:rPr>
          <w:rFonts w:eastAsia="Times New Roman"/>
          <w:lang w:val="es-ES" w:eastAsia="es-ES_tradnl"/>
        </w:rPr>
        <w:t xml:space="preserve">para la fe </w:t>
      </w:r>
      <w:r>
        <w:rPr>
          <w:rFonts w:eastAsia="Times New Roman"/>
          <w:lang w:val="es-ES" w:eastAsia="es-ES_tradnl"/>
        </w:rPr>
        <w:t xml:space="preserve">que la CDF ha emitido en estos últimos 50 años </w:t>
      </w:r>
      <w:r w:rsidR="00611B0A">
        <w:rPr>
          <w:rFonts w:eastAsia="Times New Roman"/>
          <w:lang w:val="es-ES" w:eastAsia="es-ES_tradnl"/>
        </w:rPr>
        <w:t xml:space="preserve">algunos documentos </w:t>
      </w:r>
      <w:r w:rsidR="00BE5A29">
        <w:rPr>
          <w:rFonts w:eastAsia="Times New Roman"/>
          <w:lang w:val="es-ES" w:eastAsia="es-ES_tradnl"/>
        </w:rPr>
        <w:t>c</w:t>
      </w:r>
      <w:r w:rsidR="00611B0A">
        <w:rPr>
          <w:rFonts w:eastAsia="Times New Roman"/>
          <w:lang w:val="es-ES" w:eastAsia="es-ES_tradnl"/>
        </w:rPr>
        <w:t xml:space="preserve">omo la Declaración </w:t>
      </w:r>
      <w:r w:rsidR="00611B0A">
        <w:rPr>
          <w:rFonts w:eastAsia="Times New Roman"/>
          <w:i/>
          <w:lang w:val="es-ES" w:eastAsia="es-ES_tradnl"/>
        </w:rPr>
        <w:t>Persona Humana</w:t>
      </w:r>
      <w:r>
        <w:rPr>
          <w:rFonts w:eastAsia="Times New Roman"/>
          <w:lang w:val="es-ES" w:eastAsia="es-ES_tradnl"/>
        </w:rPr>
        <w:t xml:space="preserve"> que, al tratar</w:t>
      </w:r>
      <w:r w:rsidR="00437859">
        <w:rPr>
          <w:rFonts w:eastAsia="Times New Roman"/>
          <w:lang w:val="es-ES" w:eastAsia="es-ES_tradnl"/>
        </w:rPr>
        <w:t xml:space="preserve"> algunas cuestiones actuales de ética sexual</w:t>
      </w:r>
      <w:r w:rsidR="00611B0A">
        <w:rPr>
          <w:rFonts w:eastAsia="Times New Roman"/>
          <w:lang w:val="es-ES" w:eastAsia="es-ES_tradnl"/>
        </w:rPr>
        <w:t xml:space="preserve"> dedica </w:t>
      </w:r>
      <w:r w:rsidR="00437859">
        <w:rPr>
          <w:rFonts w:eastAsia="Times New Roman"/>
          <w:lang w:val="es-ES" w:eastAsia="es-ES_tradnl"/>
        </w:rPr>
        <w:t>el punto 8</w:t>
      </w:r>
      <w:r w:rsidR="00611B0A">
        <w:rPr>
          <w:rFonts w:eastAsia="Times New Roman"/>
          <w:lang w:val="es-ES" w:eastAsia="es-ES_tradnl"/>
        </w:rPr>
        <w:t xml:space="preserve"> explicar que, siendo objeto de toda posible atención pastoral, cuidado, cariño y comprensión, las personas con tendencias homosexuales</w:t>
      </w:r>
      <w:r w:rsidR="00BE5A29">
        <w:rPr>
          <w:rFonts w:eastAsia="Times New Roman"/>
          <w:lang w:val="es-ES" w:eastAsia="es-ES_tradnl"/>
        </w:rPr>
        <w:t>, aun siendo considerados</w:t>
      </w:r>
      <w:r w:rsidR="00611B0A">
        <w:rPr>
          <w:rFonts w:eastAsia="Times New Roman"/>
          <w:lang w:val="es-ES" w:eastAsia="es-ES_tradnl"/>
        </w:rPr>
        <w:t xml:space="preserve"> </w:t>
      </w:r>
      <w:r w:rsidR="00611B0A">
        <w:rPr>
          <w:rFonts w:eastAsia="Times New Roman"/>
          <w:i/>
          <w:lang w:val="es-ES" w:eastAsia="es-ES_tradnl"/>
        </w:rPr>
        <w:t>homosexuales verdaderos</w:t>
      </w:r>
      <w:r w:rsidR="000316AB">
        <w:rPr>
          <w:rFonts w:eastAsia="Times New Roman"/>
          <w:i/>
          <w:lang w:val="es-ES" w:eastAsia="es-ES_tradnl"/>
        </w:rPr>
        <w:t xml:space="preserve"> </w:t>
      </w:r>
      <w:r w:rsidR="00BE5A29">
        <w:rPr>
          <w:rFonts w:eastAsia="Times New Roman"/>
          <w:lang w:val="es-ES" w:eastAsia="es-ES_tradnl"/>
        </w:rPr>
        <w:t>cuya</w:t>
      </w:r>
      <w:r w:rsidR="00611B0A">
        <w:rPr>
          <w:rFonts w:eastAsia="Times New Roman"/>
          <w:lang w:val="es-ES" w:eastAsia="es-ES_tradnl"/>
        </w:rPr>
        <w:t xml:space="preserve"> atracción hacia personas del mismo sexo es profunda e innata no puede considerarse </w:t>
      </w:r>
      <w:r w:rsidR="00611B0A">
        <w:rPr>
          <w:rFonts w:eastAsia="Times New Roman"/>
          <w:i/>
          <w:lang w:val="es-ES" w:eastAsia="es-ES_tradnl"/>
        </w:rPr>
        <w:t>normal</w:t>
      </w:r>
      <w:r w:rsidR="00611B0A">
        <w:rPr>
          <w:rFonts w:eastAsia="Times New Roman"/>
          <w:lang w:val="es-ES" w:eastAsia="es-ES_tradnl"/>
        </w:rPr>
        <w:t xml:space="preserve"> o sin trascendencia moral</w:t>
      </w:r>
      <w:r w:rsidR="00BE5A29">
        <w:rPr>
          <w:rFonts w:eastAsia="Times New Roman"/>
          <w:lang w:val="es-ES" w:eastAsia="es-ES_tradnl"/>
        </w:rPr>
        <w:t xml:space="preserve">: </w:t>
      </w:r>
      <w:r w:rsidR="00611B0A" w:rsidRPr="00883F91">
        <w:rPr>
          <w:rFonts w:eastAsia="Times New Roman"/>
          <w:lang w:val="es-ES" w:eastAsia="es-ES_tradnl"/>
        </w:rPr>
        <w:t>«</w:t>
      </w:r>
      <w:r w:rsidR="00437859" w:rsidRPr="00437859">
        <w:rPr>
          <w:rFonts w:eastAsia="Times New Roman"/>
          <w:i/>
          <w:lang w:val="es-ES" w:eastAsia="es-ES_tradnl"/>
        </w:rPr>
        <w:t xml:space="preserve">Según el orden moral objetivo, las relaciones homosexuales son actos privados de su ordenación necesaria y esencial. En la Sagrada Escritura están condenados como graves depravaciones e incluso presentados como la triste consecuencia de una repulsa de Dios. Este juicio de la Escritura no permite </w:t>
      </w:r>
      <w:r w:rsidR="00611B0A" w:rsidRPr="00437859">
        <w:rPr>
          <w:rFonts w:eastAsia="Times New Roman"/>
          <w:i/>
          <w:lang w:val="es-ES" w:eastAsia="es-ES_tradnl"/>
        </w:rPr>
        <w:t>concluir que todos los que padecen de esta anomalía son del todo responsables, personalmente, de sus manifestaciones; pero atestigua que los actos homosexuales son intrínsecamente desordenados y que no pueden recibir aprobación en ningún caso</w:t>
      </w:r>
      <w:r w:rsidR="00611B0A" w:rsidRPr="00883F91">
        <w:rPr>
          <w:rFonts w:eastAsia="Times New Roman"/>
          <w:lang w:val="es-ES" w:eastAsia="es-ES_tradnl"/>
        </w:rPr>
        <w:t>»</w:t>
      </w:r>
      <w:r w:rsidR="00A5589C">
        <w:rPr>
          <w:rStyle w:val="Refdenotaalpie"/>
          <w:rFonts w:eastAsia="Times New Roman"/>
          <w:lang w:val="es-ES" w:eastAsia="es-ES_tradnl"/>
        </w:rPr>
        <w:footnoteReference w:id="16"/>
      </w:r>
      <w:r w:rsidR="00611B0A">
        <w:rPr>
          <w:rFonts w:eastAsia="Times New Roman"/>
          <w:lang w:val="es-ES" w:eastAsia="es-ES_tradnl"/>
        </w:rPr>
        <w:t>.</w:t>
      </w:r>
    </w:p>
    <w:p w:rsidR="000316AB" w:rsidRDefault="00BE5A29" w:rsidP="0025241F">
      <w:pPr>
        <w:rPr>
          <w:rFonts w:eastAsia="Times New Roman"/>
          <w:lang w:val="es-ES" w:eastAsia="es-ES_tradnl"/>
        </w:rPr>
      </w:pPr>
      <w:r>
        <w:rPr>
          <w:rFonts w:eastAsia="Times New Roman"/>
          <w:lang w:val="es-ES" w:eastAsia="es-ES_tradnl"/>
        </w:rPr>
        <w:t>De esta manera,</w:t>
      </w:r>
      <w:r w:rsidR="000316AB">
        <w:rPr>
          <w:rFonts w:eastAsia="Times New Roman"/>
          <w:lang w:val="es-ES" w:eastAsia="es-ES_tradnl"/>
        </w:rPr>
        <w:t xml:space="preserve"> podemos decir que</w:t>
      </w:r>
      <w:r w:rsidR="00611B0A" w:rsidRPr="005D6BDB">
        <w:rPr>
          <w:rFonts w:eastAsia="Times New Roman"/>
          <w:lang w:val="es-ES" w:eastAsia="es-ES_tradnl"/>
        </w:rPr>
        <w:t xml:space="preserve"> sí aceptamos la homosexualidad </w:t>
      </w:r>
      <w:r w:rsidR="000316AB">
        <w:rPr>
          <w:rFonts w:eastAsia="Times New Roman"/>
          <w:lang w:val="es-ES" w:eastAsia="es-ES_tradnl"/>
        </w:rPr>
        <w:t>“</w:t>
      </w:r>
      <w:r w:rsidR="00611B0A" w:rsidRPr="000316AB">
        <w:rPr>
          <w:rFonts w:eastAsia="Times New Roman"/>
          <w:i/>
          <w:lang w:val="es-ES" w:eastAsia="es-ES_tradnl"/>
        </w:rPr>
        <w:t>verdadera</w:t>
      </w:r>
      <w:r w:rsidR="000316AB">
        <w:rPr>
          <w:rFonts w:eastAsia="Times New Roman"/>
          <w:lang w:val="es-ES" w:eastAsia="es-ES_tradnl"/>
        </w:rPr>
        <w:t>”</w:t>
      </w:r>
      <w:r w:rsidR="00611B0A" w:rsidRPr="005D6BDB">
        <w:rPr>
          <w:rFonts w:eastAsia="Times New Roman"/>
          <w:lang w:val="es-ES" w:eastAsia="es-ES_tradnl"/>
        </w:rPr>
        <w:t xml:space="preserve"> como algo normal</w:t>
      </w:r>
      <w:r>
        <w:rPr>
          <w:rFonts w:eastAsia="Times New Roman"/>
          <w:lang w:val="es-ES" w:eastAsia="es-ES_tradnl"/>
        </w:rPr>
        <w:t>,</w:t>
      </w:r>
      <w:r w:rsidR="00611B0A" w:rsidRPr="005D6BDB">
        <w:rPr>
          <w:rFonts w:eastAsia="Times New Roman"/>
          <w:lang w:val="es-ES" w:eastAsia="es-ES_tradnl"/>
        </w:rPr>
        <w:t xml:space="preserve"> del mismo modo que aceptamos la heterosexualidad</w:t>
      </w:r>
      <w:r>
        <w:rPr>
          <w:rFonts w:eastAsia="Times New Roman"/>
          <w:lang w:val="es-ES" w:eastAsia="es-ES_tradnl"/>
        </w:rPr>
        <w:t>,</w:t>
      </w:r>
      <w:r w:rsidR="000316AB">
        <w:rPr>
          <w:rFonts w:eastAsia="Times New Roman"/>
          <w:lang w:val="es-ES" w:eastAsia="es-ES_tradnl"/>
        </w:rPr>
        <w:t xml:space="preserve"> </w:t>
      </w:r>
      <w:r w:rsidR="00611B0A" w:rsidRPr="005D6BDB">
        <w:rPr>
          <w:rFonts w:eastAsia="Times New Roman"/>
          <w:lang w:val="es-ES" w:eastAsia="es-ES_tradnl"/>
        </w:rPr>
        <w:t>no es fácil</w:t>
      </w:r>
      <w:r w:rsidR="000316AB">
        <w:rPr>
          <w:rFonts w:eastAsia="Times New Roman"/>
          <w:lang w:val="es-ES" w:eastAsia="es-ES_tradnl"/>
        </w:rPr>
        <w:t xml:space="preserve"> concluir que las </w:t>
      </w:r>
      <w:r w:rsidR="00611B0A" w:rsidRPr="005D6BDB">
        <w:rPr>
          <w:rFonts w:eastAsia="Times New Roman"/>
          <w:lang w:val="es-ES" w:eastAsia="es-ES_tradnl"/>
        </w:rPr>
        <w:t>relaciones homosexuales en parejas estables</w:t>
      </w:r>
      <w:r w:rsidR="000316AB">
        <w:rPr>
          <w:rFonts w:eastAsia="Times New Roman"/>
          <w:lang w:val="es-ES" w:eastAsia="es-ES_tradnl"/>
        </w:rPr>
        <w:t xml:space="preserve"> sean ilícitas</w:t>
      </w:r>
      <w:r>
        <w:rPr>
          <w:rFonts w:eastAsia="Times New Roman"/>
          <w:lang w:val="es-ES" w:eastAsia="es-ES_tradnl"/>
        </w:rPr>
        <w:t xml:space="preserve">, en especial en estos tiempos de permisividad sexual y confusión moral sobre lo que </w:t>
      </w:r>
      <w:r>
        <w:rPr>
          <w:rFonts w:eastAsia="Times New Roman"/>
          <w:i/>
          <w:lang w:val="es-ES" w:eastAsia="es-ES_tradnl"/>
        </w:rPr>
        <w:t>se puede y no se puede</w:t>
      </w:r>
      <w:r>
        <w:rPr>
          <w:rFonts w:eastAsia="Times New Roman"/>
          <w:lang w:val="es-ES" w:eastAsia="es-ES_tradnl"/>
        </w:rPr>
        <w:t xml:space="preserve"> hacer en relación al sexo y a los pecados de orden sexual como la masturbación, la contracepción, o las relaciones </w:t>
      </w:r>
      <w:r>
        <w:rPr>
          <w:rFonts w:eastAsia="Times New Roman"/>
          <w:i/>
          <w:lang w:val="es-ES" w:eastAsia="es-ES_tradnl"/>
        </w:rPr>
        <w:t>pre-matrimoniales</w:t>
      </w:r>
      <w:r w:rsidR="000316AB">
        <w:rPr>
          <w:rFonts w:eastAsia="Times New Roman"/>
          <w:lang w:val="es-ES" w:eastAsia="es-ES_tradnl"/>
        </w:rPr>
        <w:t xml:space="preserve">. </w:t>
      </w:r>
      <w:r>
        <w:rPr>
          <w:rFonts w:eastAsia="Times New Roman"/>
          <w:lang w:val="es-ES" w:eastAsia="es-ES_tradnl"/>
        </w:rPr>
        <w:t>Aunque e</w:t>
      </w:r>
      <w:r w:rsidR="000316AB">
        <w:rPr>
          <w:rFonts w:eastAsia="Times New Roman"/>
          <w:lang w:val="es-ES" w:eastAsia="es-ES_tradnl"/>
        </w:rPr>
        <w:t xml:space="preserve">s evidente que unas relaciones así nunca podrán ser ni fecundas ni </w:t>
      </w:r>
      <w:r w:rsidR="000316AB" w:rsidRPr="000316AB">
        <w:rPr>
          <w:rFonts w:eastAsia="Times New Roman"/>
          <w:i/>
          <w:lang w:val="es-ES" w:eastAsia="es-ES_tradnl"/>
        </w:rPr>
        <w:t>naturales</w:t>
      </w:r>
      <w:r w:rsidR="000316AB">
        <w:rPr>
          <w:rFonts w:eastAsia="Times New Roman"/>
          <w:i/>
          <w:lang w:val="es-ES" w:eastAsia="es-ES_tradnl"/>
        </w:rPr>
        <w:t xml:space="preserve"> </w:t>
      </w:r>
      <w:r w:rsidR="000316AB">
        <w:rPr>
          <w:rFonts w:eastAsia="Times New Roman"/>
          <w:lang w:val="es-ES" w:eastAsia="es-ES_tradnl"/>
        </w:rPr>
        <w:t>en el sentido de que el coito se realiza de la forma en que la naturaleza establece con fin a la procreación</w:t>
      </w:r>
      <w:r>
        <w:rPr>
          <w:rFonts w:eastAsia="Times New Roman"/>
          <w:lang w:val="es-ES" w:eastAsia="es-ES_tradnl"/>
        </w:rPr>
        <w:t xml:space="preserve">, si se aceptan ciertos actos sexuales como los citados como </w:t>
      </w:r>
      <w:r w:rsidRPr="00BE5A29">
        <w:rPr>
          <w:rFonts w:eastAsia="Times New Roman"/>
          <w:lang w:val="es-ES" w:eastAsia="es-ES_tradnl"/>
        </w:rPr>
        <w:t>moralmente ad</w:t>
      </w:r>
      <w:r>
        <w:rPr>
          <w:rFonts w:eastAsia="Times New Roman"/>
          <w:lang w:val="es-ES" w:eastAsia="es-ES_tradnl"/>
        </w:rPr>
        <w:t>e</w:t>
      </w:r>
      <w:r w:rsidRPr="00BE5A29">
        <w:rPr>
          <w:rFonts w:eastAsia="Times New Roman"/>
          <w:lang w:val="es-ES" w:eastAsia="es-ES_tradnl"/>
        </w:rPr>
        <w:t>cuados</w:t>
      </w:r>
      <w:r>
        <w:rPr>
          <w:rFonts w:eastAsia="Times New Roman"/>
          <w:lang w:val="es-ES" w:eastAsia="es-ES_tradnl"/>
        </w:rPr>
        <w:t xml:space="preserve">, no es posible negar a los homosexuales los actos homosexuales, pues poco </w:t>
      </w:r>
      <w:r>
        <w:rPr>
          <w:rFonts w:eastAsia="Times New Roman"/>
          <w:i/>
          <w:lang w:val="es-ES" w:eastAsia="es-ES_tradnl"/>
        </w:rPr>
        <w:t>añaden</w:t>
      </w:r>
      <w:r>
        <w:rPr>
          <w:rFonts w:eastAsia="Times New Roman"/>
          <w:lang w:val="es-ES" w:eastAsia="es-ES_tradnl"/>
        </w:rPr>
        <w:t xml:space="preserve"> a </w:t>
      </w:r>
      <w:r w:rsidR="0025241F">
        <w:rPr>
          <w:rFonts w:eastAsia="Times New Roman"/>
          <w:lang w:val="es-ES" w:eastAsia="es-ES_tradnl"/>
        </w:rPr>
        <w:t xml:space="preserve">estas acciones el que sean realizadas por hombres y mujeres, o por personas del mismo sexo. Por eso, autores como </w:t>
      </w:r>
      <w:proofErr w:type="spellStart"/>
      <w:r w:rsidR="0025241F">
        <w:rPr>
          <w:rFonts w:eastAsia="Times New Roman"/>
          <w:lang w:val="es-ES" w:eastAsia="es-ES_tradnl"/>
        </w:rPr>
        <w:t>MacNeill</w:t>
      </w:r>
      <w:proofErr w:type="spellEnd"/>
      <w:r w:rsidR="0025241F">
        <w:rPr>
          <w:rFonts w:eastAsia="Times New Roman"/>
          <w:lang w:val="es-ES" w:eastAsia="es-ES_tradnl"/>
        </w:rPr>
        <w:t>, Shore-</w:t>
      </w:r>
      <w:proofErr w:type="spellStart"/>
      <w:r w:rsidR="0025241F">
        <w:rPr>
          <w:rFonts w:eastAsia="Times New Roman"/>
          <w:lang w:val="es-ES" w:eastAsia="es-ES_tradnl"/>
        </w:rPr>
        <w:t>Gross</w:t>
      </w:r>
      <w:proofErr w:type="spellEnd"/>
      <w:r w:rsidR="0025241F">
        <w:rPr>
          <w:rFonts w:eastAsia="Times New Roman"/>
          <w:lang w:val="es-ES" w:eastAsia="es-ES_tradnl"/>
        </w:rPr>
        <w:t xml:space="preserve"> o Eastman</w:t>
      </w:r>
      <w:r w:rsidR="000316AB">
        <w:rPr>
          <w:rFonts w:eastAsia="Times New Roman"/>
          <w:lang w:val="es-ES" w:eastAsia="es-ES_tradnl"/>
        </w:rPr>
        <w:t xml:space="preserve"> sostienen que</w:t>
      </w:r>
      <w:r w:rsidR="0025241F">
        <w:rPr>
          <w:rFonts w:eastAsia="Times New Roman"/>
          <w:lang w:val="es-ES" w:eastAsia="es-ES_tradnl"/>
        </w:rPr>
        <w:t>,</w:t>
      </w:r>
      <w:r w:rsidR="000316AB">
        <w:rPr>
          <w:rFonts w:eastAsia="Times New Roman"/>
          <w:lang w:val="es-ES" w:eastAsia="es-ES_tradnl"/>
        </w:rPr>
        <w:t xml:space="preserve"> habiendo un amor real entre las personas, y una atracción innata, este deseo de entrega mutua justifica o permite el encuentro sexual.</w:t>
      </w:r>
      <w:r w:rsidR="0025241F">
        <w:rPr>
          <w:rFonts w:eastAsia="Times New Roman"/>
          <w:lang w:val="es-ES" w:eastAsia="es-ES_tradnl"/>
        </w:rPr>
        <w:t xml:space="preserve"> </w:t>
      </w:r>
      <w:r w:rsidR="000316AB">
        <w:rPr>
          <w:rFonts w:eastAsia="Times New Roman"/>
          <w:lang w:val="es-ES" w:eastAsia="es-ES_tradnl"/>
        </w:rPr>
        <w:t>Pienso que hay motivos suficientes para discutir esta afirmación</w:t>
      </w:r>
      <w:r w:rsidR="0025241F">
        <w:rPr>
          <w:rFonts w:eastAsia="Times New Roman"/>
          <w:lang w:val="es-ES" w:eastAsia="es-ES_tradnl"/>
        </w:rPr>
        <w:t xml:space="preserve">, señalando primero que </w:t>
      </w:r>
      <w:r w:rsidR="0025241F">
        <w:rPr>
          <w:rFonts w:eastAsia="Times New Roman"/>
          <w:lang w:val="es-ES" w:eastAsia="es-ES_tradnl"/>
        </w:rPr>
        <w:t xml:space="preserve">la CDF en su </w:t>
      </w:r>
      <w:r w:rsidR="0025241F">
        <w:rPr>
          <w:rFonts w:eastAsia="Times New Roman"/>
          <w:i/>
          <w:lang w:val="es-ES" w:eastAsia="es-ES_tradnl"/>
        </w:rPr>
        <w:t>Carta a los obispos de la Iglesia Católica sobre la atención pastoras a las personas homosexuales</w:t>
      </w:r>
      <w:r w:rsidR="0025241F">
        <w:rPr>
          <w:rFonts w:eastAsia="Times New Roman"/>
          <w:lang w:val="es-ES" w:eastAsia="es-ES_tradnl"/>
        </w:rPr>
        <w:t xml:space="preserve"> dice que “</w:t>
      </w:r>
      <w:r w:rsidR="0025241F">
        <w:rPr>
          <w:i/>
          <w:lang w:val="es-ES"/>
        </w:rPr>
        <w:t>o</w:t>
      </w:r>
      <w:r w:rsidR="0025241F" w:rsidRPr="00B47819">
        <w:rPr>
          <w:i/>
          <w:lang w:val="es-ES"/>
        </w:rPr>
        <w:t>ptar por una actividad sexual con una persona del mismo sexo equivale a anular el rico simbolismo y el significado, para no hablar de los fines, del designio del Creador en relación con la realidad sexual. La actividad homosexual no expresa una unión complementaria, capaz de transmitir la vida, y por lo tanto contradice la vocación a una existencia vivida en esa forma de auto-donación que, según el Evangelio, es la esencia misma de la vida cristiana</w:t>
      </w:r>
      <w:r w:rsidR="0025241F">
        <w:rPr>
          <w:rFonts w:eastAsia="Times New Roman"/>
          <w:lang w:val="es-ES" w:eastAsia="es-ES_tradnl"/>
        </w:rPr>
        <w:t>”</w:t>
      </w:r>
      <w:r w:rsidR="0025241F">
        <w:rPr>
          <w:rStyle w:val="Refdenotaalpie"/>
          <w:rFonts w:eastAsia="Times New Roman"/>
          <w:lang w:val="es-ES" w:eastAsia="es-ES_tradnl"/>
        </w:rPr>
        <w:footnoteReference w:id="17"/>
      </w:r>
      <w:r w:rsidR="0025241F">
        <w:rPr>
          <w:rFonts w:eastAsia="Times New Roman"/>
          <w:lang w:val="es-ES" w:eastAsia="es-ES_tradnl"/>
        </w:rPr>
        <w:t>.</w:t>
      </w:r>
    </w:p>
    <w:p w:rsidR="00693EDA" w:rsidRDefault="00E63B43" w:rsidP="006C0E0D">
      <w:pPr>
        <w:rPr>
          <w:rFonts w:eastAsia="Times New Roman"/>
          <w:color w:val="000000" w:themeColor="text1"/>
          <w:lang w:val="es-ES" w:eastAsia="es-ES_tradnl"/>
        </w:rPr>
      </w:pPr>
      <w:r>
        <w:rPr>
          <w:rFonts w:eastAsia="Times New Roman"/>
          <w:lang w:val="es-ES" w:eastAsia="es-ES_tradnl"/>
        </w:rPr>
        <w:t xml:space="preserve">En cuanto al objeto de este trabajo, los textos del NT que abordan la homosexualidad, la </w:t>
      </w:r>
      <w:r w:rsidRPr="004E59CA">
        <w:rPr>
          <w:rFonts w:eastAsia="Times New Roman"/>
          <w:lang w:val="es-ES" w:eastAsia="es-ES_tradnl"/>
        </w:rPr>
        <w:t>clara divergencia en las conclusiones</w:t>
      </w:r>
      <w:r>
        <w:rPr>
          <w:rFonts w:eastAsia="Times New Roman"/>
          <w:lang w:val="es-ES" w:eastAsia="es-ES_tradnl"/>
        </w:rPr>
        <w:t xml:space="preserve"> entre los autores estudiados, me parece que vienen determinados por posiciones </w:t>
      </w:r>
      <w:r>
        <w:rPr>
          <w:rFonts w:eastAsia="Times New Roman"/>
          <w:i/>
          <w:lang w:val="es-ES" w:eastAsia="es-ES_tradnl"/>
        </w:rPr>
        <w:t>de partida</w:t>
      </w:r>
      <w:r>
        <w:rPr>
          <w:rFonts w:eastAsia="Times New Roman"/>
          <w:lang w:val="es-ES" w:eastAsia="es-ES_tradnl"/>
        </w:rPr>
        <w:t xml:space="preserve"> más que por conclusiones extraídas del estudio. Así, Jean-</w:t>
      </w:r>
      <w:proofErr w:type="spellStart"/>
      <w:r>
        <w:rPr>
          <w:rFonts w:eastAsia="Times New Roman"/>
          <w:lang w:val="es-ES" w:eastAsia="es-ES_tradnl"/>
        </w:rPr>
        <w:t>Baptiste</w:t>
      </w:r>
      <w:proofErr w:type="spellEnd"/>
      <w:r>
        <w:rPr>
          <w:rFonts w:eastAsia="Times New Roman"/>
          <w:lang w:val="es-ES" w:eastAsia="es-ES_tradnl"/>
        </w:rPr>
        <w:t xml:space="preserve"> </w:t>
      </w:r>
      <w:proofErr w:type="spellStart"/>
      <w:r>
        <w:rPr>
          <w:rFonts w:eastAsia="Times New Roman"/>
          <w:lang w:val="es-ES" w:eastAsia="es-ES_tradnl"/>
        </w:rPr>
        <w:t>Edart</w:t>
      </w:r>
      <w:proofErr w:type="spellEnd"/>
      <w:r>
        <w:rPr>
          <w:rFonts w:eastAsia="Times New Roman"/>
          <w:lang w:val="es-ES" w:eastAsia="es-ES_tradnl"/>
        </w:rPr>
        <w:t xml:space="preserve"> y </w:t>
      </w:r>
      <w:proofErr w:type="spellStart"/>
      <w:r>
        <w:rPr>
          <w:rFonts w:eastAsia="Times New Roman"/>
          <w:lang w:val="es-ES" w:eastAsia="es-ES_tradnl"/>
        </w:rPr>
        <w:t>Vitaliano</w:t>
      </w:r>
      <w:proofErr w:type="spellEnd"/>
      <w:r>
        <w:rPr>
          <w:rFonts w:eastAsia="Times New Roman"/>
          <w:lang w:val="es-ES" w:eastAsia="es-ES_tradnl"/>
        </w:rPr>
        <w:t xml:space="preserve"> </w:t>
      </w:r>
      <w:proofErr w:type="spellStart"/>
      <w:r>
        <w:rPr>
          <w:rFonts w:eastAsia="Times New Roman"/>
          <w:lang w:val="es-ES" w:eastAsia="es-ES_tradnl"/>
        </w:rPr>
        <w:t>Mattioli</w:t>
      </w:r>
      <w:proofErr w:type="spellEnd"/>
      <w:r>
        <w:rPr>
          <w:rFonts w:eastAsia="Times New Roman"/>
          <w:lang w:val="es-ES" w:eastAsia="es-ES_tradnl"/>
        </w:rPr>
        <w:t xml:space="preserve">, </w:t>
      </w:r>
      <w:r w:rsidR="00D54196">
        <w:rPr>
          <w:rFonts w:eastAsia="Times New Roman"/>
          <w:lang w:val="es-ES" w:eastAsia="es-ES_tradnl"/>
        </w:rPr>
        <w:t xml:space="preserve">asumen </w:t>
      </w:r>
      <w:r w:rsidR="00D54196">
        <w:rPr>
          <w:rFonts w:eastAsia="Times New Roman"/>
          <w:lang w:val="es-ES" w:eastAsia="es-ES_tradnl"/>
        </w:rPr>
        <w:lastRenderedPageBreak/>
        <w:t xml:space="preserve">los presupuestos del Magisterio, expresados unánime y continuamente por la Iglesia respecto de la intrínseca inmoralidad de los actos homosexuales, para realizar un estudio profundo de la Escritura, considerando las tendencias homosexuales, no cómo </w:t>
      </w:r>
      <w:r w:rsidR="00D54196">
        <w:rPr>
          <w:rFonts w:eastAsia="Times New Roman"/>
          <w:i/>
          <w:lang w:val="es-ES" w:eastAsia="es-ES_tradnl"/>
        </w:rPr>
        <w:t xml:space="preserve">otro modo </w:t>
      </w:r>
      <w:r w:rsidR="00D54196" w:rsidRPr="00D54196">
        <w:rPr>
          <w:rFonts w:eastAsia="Times New Roman"/>
          <w:i/>
          <w:lang w:val="es-ES" w:eastAsia="es-ES_tradnl"/>
        </w:rPr>
        <w:t>natural</w:t>
      </w:r>
      <w:r w:rsidR="00D54196">
        <w:rPr>
          <w:rFonts w:eastAsia="Times New Roman"/>
          <w:i/>
          <w:lang w:val="es-ES" w:eastAsia="es-ES_tradnl"/>
        </w:rPr>
        <w:t xml:space="preserve"> </w:t>
      </w:r>
      <w:r w:rsidR="00D54196">
        <w:rPr>
          <w:rFonts w:eastAsia="Times New Roman"/>
          <w:lang w:val="es-ES" w:eastAsia="es-ES_tradnl"/>
        </w:rPr>
        <w:t xml:space="preserve">de amar, sino como una </w:t>
      </w:r>
      <w:r w:rsidR="00D54196">
        <w:rPr>
          <w:rFonts w:eastAsia="Times New Roman"/>
          <w:i/>
          <w:lang w:val="es-ES" w:eastAsia="es-ES_tradnl"/>
        </w:rPr>
        <w:t xml:space="preserve">desviación </w:t>
      </w:r>
      <w:r w:rsidR="00D54196">
        <w:rPr>
          <w:rFonts w:eastAsia="Times New Roman"/>
          <w:lang w:val="es-ES" w:eastAsia="es-ES_tradnl"/>
        </w:rPr>
        <w:t xml:space="preserve">en cuanto que tal, un desorden moral. Por otra parte, </w:t>
      </w:r>
      <w:r w:rsidR="00D54196" w:rsidRPr="00623F70">
        <w:rPr>
          <w:rFonts w:eastAsia="Times New Roman"/>
          <w:color w:val="000000" w:themeColor="text1"/>
          <w:lang w:val="es-ES" w:eastAsia="es-ES_tradnl"/>
        </w:rPr>
        <w:t>Shore-</w:t>
      </w:r>
      <w:proofErr w:type="spellStart"/>
      <w:r w:rsidR="00D54196" w:rsidRPr="00623F70">
        <w:rPr>
          <w:rFonts w:eastAsia="Times New Roman"/>
          <w:color w:val="000000" w:themeColor="text1"/>
          <w:lang w:val="es-ES" w:eastAsia="es-ES_tradnl"/>
        </w:rPr>
        <w:t>Gross</w:t>
      </w:r>
      <w:proofErr w:type="spellEnd"/>
      <w:r w:rsidR="00D54196" w:rsidRPr="00623F70">
        <w:rPr>
          <w:rFonts w:eastAsia="Times New Roman"/>
          <w:color w:val="000000" w:themeColor="text1"/>
          <w:lang w:val="es-ES" w:eastAsia="es-ES_tradnl"/>
        </w:rPr>
        <w:t xml:space="preserve">, Don Eastman y </w:t>
      </w:r>
      <w:proofErr w:type="spellStart"/>
      <w:r w:rsidR="00D54196" w:rsidRPr="00623F70">
        <w:rPr>
          <w:rFonts w:eastAsia="Times New Roman"/>
          <w:color w:val="000000" w:themeColor="text1"/>
          <w:lang w:val="es-ES" w:eastAsia="es-ES_tradnl"/>
        </w:rPr>
        <w:t>Myles</w:t>
      </w:r>
      <w:proofErr w:type="spellEnd"/>
      <w:r w:rsidR="00D54196" w:rsidRPr="00623F70">
        <w:rPr>
          <w:rFonts w:eastAsia="Times New Roman"/>
          <w:color w:val="000000" w:themeColor="text1"/>
          <w:lang w:val="es-ES" w:eastAsia="es-ES_tradnl"/>
        </w:rPr>
        <w:t xml:space="preserve"> </w:t>
      </w:r>
      <w:proofErr w:type="spellStart"/>
      <w:r w:rsidR="00D54196" w:rsidRPr="00623F70">
        <w:rPr>
          <w:rFonts w:eastAsia="Times New Roman"/>
          <w:color w:val="000000" w:themeColor="text1"/>
          <w:lang w:val="es-ES" w:eastAsia="es-ES_tradnl"/>
        </w:rPr>
        <w:t>Markham</w:t>
      </w:r>
      <w:proofErr w:type="spellEnd"/>
      <w:r w:rsidR="00D54196">
        <w:rPr>
          <w:rFonts w:eastAsia="Times New Roman"/>
          <w:color w:val="000000" w:themeColor="text1"/>
          <w:lang w:val="es-ES" w:eastAsia="es-ES_tradnl"/>
        </w:rPr>
        <w:t xml:space="preserve"> parten de una premisa diametralmente opuesta, considerando la homosexualidad algo </w:t>
      </w:r>
      <w:r w:rsidR="00D54196">
        <w:rPr>
          <w:rFonts w:eastAsia="Times New Roman"/>
          <w:i/>
          <w:color w:val="000000" w:themeColor="text1"/>
          <w:lang w:val="es-ES" w:eastAsia="es-ES_tradnl"/>
        </w:rPr>
        <w:t>natural</w:t>
      </w:r>
      <w:r w:rsidR="00D54196">
        <w:rPr>
          <w:rFonts w:eastAsia="Times New Roman"/>
          <w:color w:val="000000" w:themeColor="text1"/>
          <w:lang w:val="es-ES" w:eastAsia="es-ES_tradnl"/>
        </w:rPr>
        <w:t xml:space="preserve"> </w:t>
      </w:r>
      <w:proofErr w:type="gramStart"/>
      <w:r w:rsidR="00D54196">
        <w:rPr>
          <w:rFonts w:eastAsia="Times New Roman"/>
          <w:color w:val="000000" w:themeColor="text1"/>
          <w:lang w:val="es-ES" w:eastAsia="es-ES_tradnl"/>
        </w:rPr>
        <w:t>y</w:t>
      </w:r>
      <w:proofErr w:type="gramEnd"/>
      <w:r w:rsidR="00D54196">
        <w:rPr>
          <w:rFonts w:eastAsia="Times New Roman"/>
          <w:color w:val="000000" w:themeColor="text1"/>
          <w:lang w:val="es-ES" w:eastAsia="es-ES_tradnl"/>
        </w:rPr>
        <w:t xml:space="preserve"> por lo tanto, ni buena ni mala en sí misma. Con esta premisa, en mi opinión, </w:t>
      </w:r>
      <w:r w:rsidR="00D54196">
        <w:rPr>
          <w:rFonts w:eastAsia="Times New Roman"/>
          <w:i/>
          <w:color w:val="000000" w:themeColor="text1"/>
          <w:lang w:val="es-ES" w:eastAsia="es-ES_tradnl"/>
        </w:rPr>
        <w:t>retuercen</w:t>
      </w:r>
      <w:r w:rsidR="00D54196">
        <w:rPr>
          <w:rFonts w:eastAsia="Times New Roman"/>
          <w:color w:val="000000" w:themeColor="text1"/>
          <w:lang w:val="es-ES" w:eastAsia="es-ES_tradnl"/>
        </w:rPr>
        <w:t xml:space="preserve"> las Escrituras para llegar a justificar los actos y uniones homosexuales. Para ello interpretan la ausencia de condena de la homosexualidad por parte de </w:t>
      </w:r>
      <w:r w:rsidR="006C0E0D">
        <w:rPr>
          <w:rFonts w:eastAsia="Times New Roman"/>
          <w:color w:val="000000" w:themeColor="text1"/>
          <w:lang w:val="es-ES" w:eastAsia="es-ES_tradnl"/>
        </w:rPr>
        <w:t>Jesucristo</w:t>
      </w:r>
      <w:r w:rsidR="00D54196">
        <w:rPr>
          <w:rFonts w:eastAsia="Times New Roman"/>
          <w:color w:val="000000" w:themeColor="text1"/>
          <w:lang w:val="es-ES" w:eastAsia="es-ES_tradnl"/>
        </w:rPr>
        <w:t xml:space="preserve"> como un argumento a favor, cuando es, pienso yo, más sencillo argumentarlo en sentido opuesto. </w:t>
      </w:r>
      <w:r w:rsidR="006C0E0D">
        <w:rPr>
          <w:rFonts w:eastAsia="Times New Roman"/>
          <w:color w:val="000000" w:themeColor="text1"/>
          <w:lang w:val="es-ES" w:eastAsia="es-ES_tradnl"/>
        </w:rPr>
        <w:t>Si tenemos en cuenta que</w:t>
      </w:r>
      <w:r w:rsidR="00D54196">
        <w:rPr>
          <w:rFonts w:eastAsia="Times New Roman"/>
          <w:color w:val="000000" w:themeColor="text1"/>
          <w:lang w:val="es-ES" w:eastAsia="es-ES_tradnl"/>
        </w:rPr>
        <w:t xml:space="preserve"> Jesús </w:t>
      </w:r>
      <w:r w:rsidR="006C0E0D">
        <w:rPr>
          <w:rFonts w:eastAsia="Times New Roman"/>
          <w:color w:val="000000" w:themeColor="text1"/>
          <w:lang w:val="es-ES" w:eastAsia="es-ES_tradnl"/>
        </w:rPr>
        <w:t xml:space="preserve"> dice </w:t>
      </w:r>
      <w:r w:rsidR="00D54196">
        <w:rPr>
          <w:rFonts w:eastAsia="Times New Roman"/>
          <w:color w:val="000000" w:themeColor="text1"/>
          <w:lang w:val="es-ES" w:eastAsia="es-ES_tradnl"/>
        </w:rPr>
        <w:t>en Mt 5, 17</w:t>
      </w:r>
      <w:r w:rsidR="006C0E0D">
        <w:rPr>
          <w:rFonts w:eastAsia="Times New Roman"/>
          <w:color w:val="000000" w:themeColor="text1"/>
          <w:lang w:val="es-ES" w:eastAsia="es-ES_tradnl"/>
        </w:rPr>
        <w:t xml:space="preserve"> “</w:t>
      </w:r>
      <w:r w:rsidR="006C0E0D" w:rsidRPr="006C0E0D">
        <w:rPr>
          <w:rFonts w:eastAsia="Times New Roman"/>
          <w:i/>
          <w:color w:val="000000" w:themeColor="text1"/>
          <w:lang w:val="es-ES" w:eastAsia="es-ES_tradnl"/>
        </w:rPr>
        <w:t>No penséis que he venido a abolir la Ley o los Profetas; no he venido a abolirlos sino a darles su plenitud</w:t>
      </w:r>
      <w:r w:rsidR="006C0E0D">
        <w:rPr>
          <w:rFonts w:eastAsia="Times New Roman"/>
          <w:color w:val="000000" w:themeColor="text1"/>
          <w:lang w:val="es-ES" w:eastAsia="es-ES_tradnl"/>
        </w:rPr>
        <w:t xml:space="preserve">”, y que, durante su predicación ha ido corrigiendo o aboliendo todo aquello que estaba mal interpretado o era erróneo en de la Ley de Moisés, como el repudio, la fornicación o el celibato, es más fácil interpretar el </w:t>
      </w:r>
      <w:r w:rsidR="006C0E0D">
        <w:rPr>
          <w:rFonts w:eastAsia="Times New Roman"/>
          <w:i/>
          <w:color w:val="000000" w:themeColor="text1"/>
          <w:lang w:val="es-ES" w:eastAsia="es-ES_tradnl"/>
        </w:rPr>
        <w:t>silencio</w:t>
      </w:r>
      <w:r w:rsidR="006C0E0D">
        <w:rPr>
          <w:rFonts w:eastAsia="Times New Roman"/>
          <w:color w:val="000000" w:themeColor="text1"/>
          <w:lang w:val="es-ES" w:eastAsia="es-ES_tradnl"/>
        </w:rPr>
        <w:t xml:space="preserve"> de Jesús sobre la homosexualidad como una aceptación de la Ley en este punto que su contrario.</w:t>
      </w:r>
    </w:p>
    <w:p w:rsidR="00693EDA" w:rsidRDefault="00693EDA" w:rsidP="00693EDA">
      <w:pPr>
        <w:rPr>
          <w:rFonts w:eastAsia="Times New Roman"/>
          <w:lang w:val="es-ES" w:eastAsia="es-ES_tradnl"/>
        </w:rPr>
      </w:pPr>
      <w:r>
        <w:rPr>
          <w:rFonts w:eastAsia="Times New Roman"/>
          <w:lang w:val="es-ES" w:eastAsia="es-ES_tradnl"/>
        </w:rPr>
        <w:br w:type="page"/>
      </w:r>
    </w:p>
    <w:p w:rsidR="00090C06" w:rsidRDefault="00090C06" w:rsidP="00090C06">
      <w:pPr>
        <w:pStyle w:val="Ttulo1"/>
        <w:rPr>
          <w:rFonts w:eastAsia="Times New Roman"/>
          <w:lang w:val="es-ES" w:eastAsia="es-ES_tradnl"/>
        </w:rPr>
      </w:pPr>
      <w:r>
        <w:rPr>
          <w:rFonts w:eastAsia="Times New Roman"/>
          <w:lang w:val="es-ES" w:eastAsia="es-ES_tradnl"/>
        </w:rPr>
        <w:lastRenderedPageBreak/>
        <w:t>Bibliografía</w:t>
      </w:r>
    </w:p>
    <w:p w:rsidR="00A5589C" w:rsidRPr="00A5589C" w:rsidRDefault="00090C06" w:rsidP="00A5589C">
      <w:pPr>
        <w:pStyle w:val="Bibliography"/>
        <w:rPr>
          <w:rFonts w:ascii="Calibri" w:cs="Calibri"/>
        </w:rPr>
      </w:pPr>
      <w:r>
        <w:fldChar w:fldCharType="begin"/>
      </w:r>
      <w:r w:rsidR="0012067E">
        <w:instrText xml:space="preserve"> ADDIN ZOTERO_BIBL {"uncited":[],"omitted":[],"custom":[]} CSL_BIBLIOGRAPHY </w:instrText>
      </w:r>
      <w:r>
        <w:fldChar w:fldCharType="separate"/>
      </w:r>
      <w:proofErr w:type="spellStart"/>
      <w:r w:rsidR="00A5589C" w:rsidRPr="00A5589C">
        <w:rPr>
          <w:rFonts w:ascii="Calibri" w:cs="Calibri"/>
        </w:rPr>
        <w:t>Awi</w:t>
      </w:r>
      <w:proofErr w:type="spellEnd"/>
      <w:r w:rsidR="00A5589C" w:rsidRPr="00A5589C">
        <w:rPr>
          <w:rFonts w:ascii="Calibri" w:cs="Calibri"/>
        </w:rPr>
        <w:t xml:space="preserve"> M., Alexandre. «¿Qué dice la Biblia sobre la homosexualidad?» </w:t>
      </w:r>
      <w:r w:rsidR="00A5589C" w:rsidRPr="00A5589C">
        <w:rPr>
          <w:rFonts w:ascii="Calibri" w:cs="Calibri"/>
          <w:i/>
          <w:iCs/>
        </w:rPr>
        <w:t>Teología y vida</w:t>
      </w:r>
      <w:r w:rsidR="00A5589C" w:rsidRPr="00A5589C">
        <w:rPr>
          <w:rFonts w:ascii="Calibri" w:cs="Calibri"/>
        </w:rPr>
        <w:t xml:space="preserve"> 42, </w:t>
      </w:r>
      <w:proofErr w:type="spellStart"/>
      <w:r w:rsidR="00A5589C" w:rsidRPr="00A5589C">
        <w:rPr>
          <w:rFonts w:ascii="Calibri" w:cs="Calibri"/>
        </w:rPr>
        <w:t>n.</w:t>
      </w:r>
      <w:r w:rsidR="00A5589C" w:rsidRPr="00A5589C">
        <w:rPr>
          <w:rFonts w:ascii="Calibri" w:cs="Calibri"/>
          <w:vertAlign w:val="superscript"/>
        </w:rPr>
        <w:t>o</w:t>
      </w:r>
      <w:proofErr w:type="spellEnd"/>
      <w:r w:rsidR="00A5589C" w:rsidRPr="00A5589C">
        <w:rPr>
          <w:rFonts w:ascii="Calibri" w:cs="Calibri"/>
        </w:rPr>
        <w:t xml:space="preserve"> 4 (2001): 377-98.</w:t>
      </w:r>
    </w:p>
    <w:p w:rsidR="00A5589C" w:rsidRPr="00A5589C" w:rsidRDefault="00A5589C" w:rsidP="00A5589C">
      <w:pPr>
        <w:pStyle w:val="Bibliography"/>
        <w:rPr>
          <w:rFonts w:ascii="Calibri" w:cs="Calibri"/>
        </w:rPr>
      </w:pPr>
      <w:r w:rsidRPr="00A5589C">
        <w:rPr>
          <w:rFonts w:ascii="Calibri" w:cs="Calibri"/>
        </w:rPr>
        <w:t xml:space="preserve">Colom, Enrique, y </w:t>
      </w:r>
      <w:proofErr w:type="spellStart"/>
      <w:r w:rsidRPr="00A5589C">
        <w:rPr>
          <w:rFonts w:ascii="Calibri" w:cs="Calibri"/>
        </w:rPr>
        <w:t>Angel</w:t>
      </w:r>
      <w:proofErr w:type="spellEnd"/>
      <w:r w:rsidRPr="00A5589C">
        <w:rPr>
          <w:rFonts w:ascii="Calibri" w:cs="Calibri"/>
        </w:rPr>
        <w:t xml:space="preserve"> Rodríguez Luño. </w:t>
      </w:r>
      <w:r w:rsidRPr="00A5589C">
        <w:rPr>
          <w:rFonts w:ascii="Calibri" w:cs="Calibri"/>
          <w:i/>
          <w:iCs/>
        </w:rPr>
        <w:t>Elegidos en Cristo para ser santos: Curso de teología moral fundamental</w:t>
      </w:r>
      <w:r w:rsidRPr="00A5589C">
        <w:rPr>
          <w:rFonts w:ascii="Calibri" w:cs="Calibri"/>
        </w:rPr>
        <w:t>. Madrid, España: Palabra, 2011.</w:t>
      </w:r>
    </w:p>
    <w:p w:rsidR="00A5589C" w:rsidRPr="00A5589C" w:rsidRDefault="00A5589C" w:rsidP="00A5589C">
      <w:pPr>
        <w:pStyle w:val="Bibliography"/>
        <w:rPr>
          <w:rFonts w:ascii="Calibri" w:cs="Calibri"/>
        </w:rPr>
      </w:pPr>
      <w:r w:rsidRPr="00A5589C">
        <w:rPr>
          <w:rFonts w:ascii="Calibri" w:cs="Calibri"/>
        </w:rPr>
        <w:t>Congr</w:t>
      </w:r>
      <w:r>
        <w:rPr>
          <w:rFonts w:ascii="Calibri" w:cs="Calibri"/>
        </w:rPr>
        <w:t>eg</w:t>
      </w:r>
      <w:r w:rsidRPr="00A5589C">
        <w:rPr>
          <w:rFonts w:ascii="Calibri" w:cs="Calibri"/>
        </w:rPr>
        <w:t xml:space="preserve">ación de la Doctrina de la fe. «Carta a los obispos de la Iglesia católica sobre la atención pastoral a las personas homosexuales», 1 de octubre de 1986. </w:t>
      </w:r>
      <w:bookmarkStart w:id="0" w:name="_GoBack"/>
      <w:bookmarkEnd w:id="0"/>
      <w:r w:rsidRPr="00A5589C">
        <w:rPr>
          <w:rFonts w:ascii="Calibri" w:cs="Calibri"/>
        </w:rPr>
        <w:t>https://www.vatican.va/roman_curia/congregations/cfaith/documents/rc_con_cfaith_doc_19861001_homosexual-persons_sp.html.</w:t>
      </w:r>
    </w:p>
    <w:p w:rsidR="00A5589C" w:rsidRDefault="009A568A" w:rsidP="00A5589C">
      <w:pPr>
        <w:pStyle w:val="Bibliography"/>
        <w:rPr>
          <w:rFonts w:ascii="Calibri" w:cs="Calibri"/>
        </w:rPr>
      </w:pPr>
      <w:r>
        <w:rPr>
          <w:rFonts w:ascii="Calibri" w:cs="Calibri"/>
        </w:rPr>
        <w:t>–––––––</w:t>
      </w:r>
      <w:r w:rsidR="00A5589C" w:rsidRPr="00A5589C">
        <w:rPr>
          <w:rFonts w:ascii="Calibri" w:cs="Calibri"/>
        </w:rPr>
        <w:t>. «Declaración acerca de ciertas cuestiones de ética sexual», 29 de diciembre de 1975. https://www.vatican.va/roman_curia/congregations/cfaith/documents/rc_con_cfaith_doc_19751229_persona-humana_sp.html.</w:t>
      </w:r>
    </w:p>
    <w:p w:rsidR="00A5589C" w:rsidRDefault="009A568A" w:rsidP="009A568A">
      <w:pPr>
        <w:ind w:left="709" w:hanging="709"/>
      </w:pPr>
      <w:r>
        <w:t>–––––––</w:t>
      </w:r>
      <w:r w:rsidR="00A5589C">
        <w:t xml:space="preserve">. «Algunas propuestas acerca de la respuesta a propuestas legislativas sobre la no discriminación de las personas homosexuales». Accedido 3 de noviembre de 2021. </w:t>
      </w:r>
      <w:hyperlink r:id="rId8" w:history="1">
        <w:r w:rsidR="00A5589C">
          <w:rPr>
            <w:rStyle w:val="Hipervnculo"/>
          </w:rPr>
          <w:t>https://www.vatican.va/roman_curia/congregations/cfaith/documents/rc_con_cfaith_doc_19920724_homosexual-persons_sp.html</w:t>
        </w:r>
      </w:hyperlink>
      <w:r w:rsidR="00A5589C">
        <w:t>.</w:t>
      </w:r>
    </w:p>
    <w:p w:rsidR="00A5589C" w:rsidRPr="009A568A" w:rsidRDefault="009A568A" w:rsidP="009A568A">
      <w:pPr>
        <w:ind w:left="709" w:hanging="709"/>
      </w:pPr>
      <w:r>
        <w:t>––––––</w:t>
      </w:r>
      <w:r w:rsidR="00A5589C">
        <w:t>. «</w:t>
      </w:r>
      <w:proofErr w:type="spellStart"/>
      <w:r w:rsidR="00A5589C">
        <w:t>Responsum</w:t>
      </w:r>
      <w:proofErr w:type="spellEnd"/>
      <w:r w:rsidR="00A5589C">
        <w:t xml:space="preserve"> de la Congregación para la Doctrina de la Fe a un </w:t>
      </w:r>
      <w:proofErr w:type="spellStart"/>
      <w:r w:rsidR="00A5589C">
        <w:t>dubium</w:t>
      </w:r>
      <w:proofErr w:type="spellEnd"/>
      <w:r w:rsidR="00A5589C">
        <w:t xml:space="preserve"> sobre las bendiciones de las uniones de personas del mismo sexo», 22 de febrero de 2021. </w:t>
      </w:r>
      <w:hyperlink r:id="rId9" w:history="1">
        <w:r w:rsidR="00A5589C">
          <w:rPr>
            <w:rStyle w:val="Hipervnculo"/>
          </w:rPr>
          <w:t>https://www.vatican.va/roman_curia/congregations/cfaith/documents/rc_con_cfaith_doc_20210222_responsum-dubium-unioni_sp.html</w:t>
        </w:r>
      </w:hyperlink>
      <w:r w:rsidR="00A5589C">
        <w:t>.</w:t>
      </w:r>
    </w:p>
    <w:p w:rsidR="00A5589C" w:rsidRPr="00A5589C" w:rsidRDefault="00A5589C" w:rsidP="00A5589C">
      <w:pPr>
        <w:pStyle w:val="Bibliography"/>
        <w:rPr>
          <w:rFonts w:ascii="Calibri" w:cs="Calibri"/>
        </w:rPr>
      </w:pPr>
      <w:r w:rsidRPr="00A5589C">
        <w:rPr>
          <w:rFonts w:ascii="Calibri" w:cs="Calibri"/>
          <w:lang w:val="en-US"/>
        </w:rPr>
        <w:t>Eastman, Rev. Elder Don. «Homosexuality: Not a Sin, Not a Sickness Part II “What The Bible Does and Does Not Say</w:t>
      </w:r>
      <w:proofErr w:type="gramStart"/>
      <w:r w:rsidRPr="00A5589C">
        <w:rPr>
          <w:rFonts w:ascii="Calibri" w:cs="Calibri"/>
          <w:lang w:val="en-US"/>
        </w:rPr>
        <w:t>...”»</w:t>
      </w:r>
      <w:proofErr w:type="gramEnd"/>
      <w:r w:rsidRPr="00A5589C">
        <w:rPr>
          <w:rFonts w:ascii="Calibri" w:cs="Calibri"/>
          <w:lang w:val="en-US"/>
        </w:rPr>
        <w:t xml:space="preserve"> </w:t>
      </w:r>
      <w:r w:rsidRPr="00A5589C">
        <w:rPr>
          <w:rFonts w:ascii="Calibri" w:cs="Calibri"/>
        </w:rPr>
        <w:t>Accedido 3 de noviembre de 2021. http://religiousinstitute.org/denom_statements/homosexuality-not-a-sin-not-a-sickness-part-ii-what-the-bible-does-and-does-not-say/.</w:t>
      </w:r>
    </w:p>
    <w:p w:rsidR="00A5589C" w:rsidRPr="00A5589C" w:rsidRDefault="00A5589C" w:rsidP="00A5589C">
      <w:pPr>
        <w:pStyle w:val="Bibliography"/>
        <w:rPr>
          <w:rFonts w:ascii="Calibri" w:cs="Calibri"/>
          <w:lang w:val="en-US"/>
        </w:rPr>
      </w:pPr>
      <w:proofErr w:type="spellStart"/>
      <w:r w:rsidRPr="00A5589C">
        <w:rPr>
          <w:rFonts w:ascii="Calibri" w:cs="Calibri"/>
          <w:lang w:val="en-US"/>
        </w:rPr>
        <w:t>Himbaza</w:t>
      </w:r>
      <w:proofErr w:type="spellEnd"/>
      <w:r w:rsidRPr="00A5589C">
        <w:rPr>
          <w:rFonts w:ascii="Calibri" w:cs="Calibri"/>
          <w:lang w:val="en-US"/>
        </w:rPr>
        <w:t xml:space="preserve">, Innocent, Adrian Schenker, y Jean-Baptiste </w:t>
      </w:r>
      <w:proofErr w:type="spellStart"/>
      <w:r w:rsidRPr="00A5589C">
        <w:rPr>
          <w:rFonts w:ascii="Calibri" w:cs="Calibri"/>
          <w:lang w:val="en-US"/>
        </w:rPr>
        <w:t>Edart</w:t>
      </w:r>
      <w:proofErr w:type="spellEnd"/>
      <w:r w:rsidRPr="00A5589C">
        <w:rPr>
          <w:rFonts w:ascii="Calibri" w:cs="Calibri"/>
          <w:lang w:val="en-US"/>
        </w:rPr>
        <w:t xml:space="preserve">. </w:t>
      </w:r>
      <w:r w:rsidRPr="00A5589C">
        <w:rPr>
          <w:rFonts w:ascii="Calibri" w:cs="Calibri"/>
          <w:i/>
          <w:iCs/>
        </w:rPr>
        <w:t>Consideraciones sobre la homosexualidad en la Biblia</w:t>
      </w:r>
      <w:r w:rsidRPr="00A5589C">
        <w:rPr>
          <w:rFonts w:ascii="Calibri" w:cs="Calibri"/>
        </w:rPr>
        <w:t xml:space="preserve">. </w:t>
      </w:r>
      <w:r w:rsidRPr="00A5589C">
        <w:rPr>
          <w:rFonts w:ascii="Calibri" w:cs="Calibri"/>
          <w:lang w:val="en-US"/>
        </w:rPr>
        <w:t>Madrid: Palabra, 2008.</w:t>
      </w:r>
    </w:p>
    <w:p w:rsidR="00A5589C" w:rsidRPr="00A5589C" w:rsidRDefault="00A5589C" w:rsidP="00A5589C">
      <w:pPr>
        <w:pStyle w:val="Bibliography"/>
        <w:rPr>
          <w:rFonts w:ascii="Calibri" w:cs="Calibri"/>
          <w:lang w:val="it-IT"/>
        </w:rPr>
      </w:pPr>
      <w:r w:rsidRPr="00A5589C">
        <w:rPr>
          <w:rFonts w:ascii="Calibri" w:cs="Calibri"/>
          <w:lang w:val="en-US"/>
        </w:rPr>
        <w:t xml:space="preserve">MacNeill, John J. </w:t>
      </w:r>
      <w:r w:rsidRPr="00A5589C">
        <w:rPr>
          <w:rFonts w:ascii="Calibri" w:cs="Calibri"/>
          <w:i/>
          <w:iCs/>
          <w:lang w:val="en-US"/>
        </w:rPr>
        <w:t>The Church and the Homosexual</w:t>
      </w:r>
      <w:r w:rsidRPr="00A5589C">
        <w:rPr>
          <w:rFonts w:ascii="Calibri" w:cs="Calibri"/>
          <w:lang w:val="en-US"/>
        </w:rPr>
        <w:t xml:space="preserve">. </w:t>
      </w:r>
      <w:r w:rsidRPr="00A5589C">
        <w:rPr>
          <w:rFonts w:ascii="Calibri" w:cs="Calibri"/>
          <w:lang w:val="it-IT"/>
        </w:rPr>
        <w:t>Boston: Beacon Press, 1993.</w:t>
      </w:r>
    </w:p>
    <w:p w:rsidR="00A5589C" w:rsidRPr="00A5589C" w:rsidRDefault="00A5589C" w:rsidP="00A5589C">
      <w:pPr>
        <w:pStyle w:val="Bibliography"/>
        <w:rPr>
          <w:rFonts w:ascii="Calibri" w:cs="Calibri"/>
          <w:lang w:val="it-IT"/>
        </w:rPr>
      </w:pPr>
      <w:r w:rsidRPr="00A5589C">
        <w:rPr>
          <w:rFonts w:ascii="Calibri" w:cs="Calibri"/>
          <w:lang w:val="it-IT"/>
        </w:rPr>
        <w:t xml:space="preserve">Mattioli, Vitaliano. </w:t>
      </w:r>
      <w:r w:rsidRPr="00A5589C">
        <w:rPr>
          <w:rFonts w:ascii="Calibri" w:cs="Calibri"/>
          <w:i/>
          <w:iCs/>
          <w:lang w:val="it-IT"/>
        </w:rPr>
        <w:t>Sessualità, matrimonio e famiglia</w:t>
      </w:r>
      <w:r w:rsidRPr="00A5589C">
        <w:rPr>
          <w:rFonts w:ascii="Calibri" w:cs="Calibri"/>
          <w:lang w:val="it-IT"/>
        </w:rPr>
        <w:t>. Bologna: Ed. Studio Domenicano, 1995.</w:t>
      </w:r>
    </w:p>
    <w:p w:rsidR="00A5589C" w:rsidRPr="00A5589C" w:rsidRDefault="00A5589C" w:rsidP="00A5589C">
      <w:pPr>
        <w:pStyle w:val="Bibliography"/>
        <w:rPr>
          <w:rFonts w:ascii="Calibri" w:cs="Calibri"/>
        </w:rPr>
      </w:pPr>
      <w:proofErr w:type="spellStart"/>
      <w:r w:rsidRPr="00A5589C">
        <w:rPr>
          <w:rFonts w:ascii="Calibri" w:cs="Calibri"/>
          <w:lang w:val="it-IT"/>
        </w:rPr>
        <w:t>Shore-Goss</w:t>
      </w:r>
      <w:proofErr w:type="spellEnd"/>
      <w:r w:rsidRPr="00A5589C">
        <w:rPr>
          <w:rFonts w:ascii="Calibri" w:cs="Calibri"/>
          <w:lang w:val="it-IT"/>
        </w:rPr>
        <w:t xml:space="preserve">, Robert. </w:t>
      </w:r>
      <w:r w:rsidRPr="00A5589C">
        <w:rPr>
          <w:rFonts w:ascii="Calibri" w:cs="Calibri"/>
        </w:rPr>
        <w:t xml:space="preserve">«La homosexualidad y la Biblia: Practicando textos seguros». </w:t>
      </w:r>
      <w:r w:rsidRPr="00A5589C">
        <w:rPr>
          <w:rFonts w:ascii="Calibri" w:cs="Calibri"/>
          <w:i/>
          <w:iCs/>
        </w:rPr>
        <w:t xml:space="preserve">Conexión </w:t>
      </w:r>
      <w:proofErr w:type="spellStart"/>
      <w:r w:rsidRPr="00A5589C">
        <w:rPr>
          <w:rFonts w:ascii="Calibri" w:cs="Calibri"/>
          <w:i/>
          <w:iCs/>
        </w:rPr>
        <w:t>Queer</w:t>
      </w:r>
      <w:proofErr w:type="spellEnd"/>
      <w:r w:rsidRPr="00A5589C">
        <w:rPr>
          <w:rFonts w:ascii="Calibri" w:cs="Calibri"/>
          <w:i/>
          <w:iCs/>
        </w:rPr>
        <w:t xml:space="preserve">: Revista Latinoamericana y Caribeña de Teologías </w:t>
      </w:r>
      <w:proofErr w:type="spellStart"/>
      <w:r w:rsidRPr="00A5589C">
        <w:rPr>
          <w:rFonts w:ascii="Calibri" w:cs="Calibri"/>
          <w:i/>
          <w:iCs/>
        </w:rPr>
        <w:t>Queer</w:t>
      </w:r>
      <w:proofErr w:type="spellEnd"/>
      <w:r w:rsidRPr="00A5589C">
        <w:rPr>
          <w:rFonts w:ascii="Calibri" w:cs="Calibri"/>
        </w:rPr>
        <w:t xml:space="preserve"> 3, </w:t>
      </w:r>
      <w:proofErr w:type="spellStart"/>
      <w:r w:rsidRPr="00A5589C">
        <w:rPr>
          <w:rFonts w:ascii="Calibri" w:cs="Calibri"/>
        </w:rPr>
        <w:t>n.</w:t>
      </w:r>
      <w:r w:rsidRPr="00A5589C">
        <w:rPr>
          <w:rFonts w:ascii="Calibri" w:cs="Calibri"/>
          <w:vertAlign w:val="superscript"/>
        </w:rPr>
        <w:t>o</w:t>
      </w:r>
      <w:proofErr w:type="spellEnd"/>
      <w:r w:rsidRPr="00A5589C">
        <w:rPr>
          <w:rFonts w:ascii="Calibri" w:cs="Calibri"/>
        </w:rPr>
        <w:t xml:space="preserve"> 1 (20 de diciembre de 2020): 71-101.</w:t>
      </w:r>
    </w:p>
    <w:p w:rsidR="00A5589C" w:rsidRPr="00A5589C" w:rsidRDefault="00A5589C" w:rsidP="00A5589C">
      <w:pPr>
        <w:pStyle w:val="Bibliography"/>
        <w:rPr>
          <w:rFonts w:ascii="Calibri" w:cs="Calibri"/>
          <w:lang w:val="it-IT"/>
        </w:rPr>
      </w:pPr>
      <w:r w:rsidRPr="00A5589C">
        <w:rPr>
          <w:rFonts w:ascii="Calibri" w:cs="Calibri"/>
        </w:rPr>
        <w:t xml:space="preserve">Universidad de Navarra y Facultad de Teología. </w:t>
      </w:r>
      <w:r w:rsidRPr="00A5589C">
        <w:rPr>
          <w:rFonts w:ascii="Calibri" w:cs="Calibri"/>
          <w:i/>
          <w:iCs/>
          <w:lang w:val="it-IT"/>
        </w:rPr>
        <w:t xml:space="preserve">Sagrada </w:t>
      </w:r>
      <w:proofErr w:type="spellStart"/>
      <w:r w:rsidRPr="00A5589C">
        <w:rPr>
          <w:rFonts w:ascii="Calibri" w:cs="Calibri"/>
          <w:i/>
          <w:iCs/>
          <w:lang w:val="it-IT"/>
        </w:rPr>
        <w:t>Biblia</w:t>
      </w:r>
      <w:proofErr w:type="spellEnd"/>
      <w:r w:rsidRPr="00A5589C">
        <w:rPr>
          <w:rFonts w:ascii="Calibri" w:cs="Calibri"/>
          <w:lang w:val="it-IT"/>
        </w:rPr>
        <w:t xml:space="preserve">. </w:t>
      </w:r>
      <w:proofErr w:type="spellStart"/>
      <w:r w:rsidRPr="00A5589C">
        <w:rPr>
          <w:rFonts w:ascii="Calibri" w:cs="Calibri"/>
          <w:lang w:val="it-IT"/>
        </w:rPr>
        <w:t>Barain</w:t>
      </w:r>
      <w:proofErr w:type="spellEnd"/>
      <w:r w:rsidRPr="00A5589C">
        <w:rPr>
          <w:rFonts w:ascii="Calibri" w:cs="Calibri"/>
          <w:lang w:val="it-IT"/>
        </w:rPr>
        <w:t xml:space="preserve"> (Navarra): EUNSA, 1999.</w:t>
      </w:r>
    </w:p>
    <w:p w:rsidR="00611B0A" w:rsidRDefault="00090C06" w:rsidP="007B2514">
      <w:pPr>
        <w:spacing w:line="276" w:lineRule="auto"/>
        <w:jc w:val="left"/>
        <w:rPr>
          <w:rFonts w:eastAsia="Times New Roman"/>
          <w:lang w:val="es-ES" w:eastAsia="es-ES_tradnl"/>
        </w:rPr>
      </w:pPr>
      <w:r>
        <w:rPr>
          <w:rFonts w:eastAsia="Times New Roman"/>
          <w:lang w:val="es-ES" w:eastAsia="es-ES_tradnl"/>
        </w:rPr>
        <w:fldChar w:fldCharType="end"/>
      </w:r>
    </w:p>
    <w:sectPr w:rsidR="00611B0A" w:rsidSect="00840414">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FA1" w:rsidRDefault="00893FA1" w:rsidP="0058307C">
      <w:pPr>
        <w:spacing w:before="0" w:after="0"/>
      </w:pPr>
      <w:r>
        <w:separator/>
      </w:r>
    </w:p>
  </w:endnote>
  <w:endnote w:type="continuationSeparator" w:id="0">
    <w:p w:rsidR="00893FA1" w:rsidRDefault="00893FA1" w:rsidP="005830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Títulos en alf">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FA1" w:rsidRDefault="00893FA1" w:rsidP="0058307C">
      <w:pPr>
        <w:spacing w:before="0" w:after="0"/>
      </w:pPr>
      <w:r>
        <w:separator/>
      </w:r>
    </w:p>
  </w:footnote>
  <w:footnote w:type="continuationSeparator" w:id="0">
    <w:p w:rsidR="00893FA1" w:rsidRDefault="00893FA1" w:rsidP="0058307C">
      <w:pPr>
        <w:spacing w:before="0" w:after="0"/>
      </w:pPr>
      <w:r>
        <w:continuationSeparator/>
      </w:r>
    </w:p>
  </w:footnote>
  <w:footnote w:id="1">
    <w:p w:rsidR="000856D7" w:rsidRPr="000856D7" w:rsidRDefault="000856D7">
      <w:pPr>
        <w:pStyle w:val="Textonotapie"/>
        <w:rPr>
          <w:lang w:val="es-ES"/>
        </w:rPr>
      </w:pPr>
      <w:r>
        <w:rPr>
          <w:rStyle w:val="Refdenotaalpie"/>
        </w:rPr>
        <w:footnoteRef/>
      </w:r>
      <w:r>
        <w:t xml:space="preserve"> </w:t>
      </w:r>
      <w:r>
        <w:fldChar w:fldCharType="begin"/>
      </w:r>
      <w:r>
        <w:instrText xml:space="preserve"> ADDIN ZOTERO_ITEM CSL_CITATION {"citationID":"Mpn3leTB","properties":{"formattedCitation":"Congraci\\uc0\\u243{}n de la Doctrina de la fe, \\uc0\\u171{}Carta a los obispos de la Iglesia cat\\uc0\\u243{}lica sobre la atenci\\uc0\\u243{}n pastoral a las personas homosexuales\\uc0\\u187{}.","plainCitation":"Congración de la Doctrina de la fe, «Carta a los obispos de la Iglesia católica sobre la atención pastoral a las personas homosexuales».","noteIndex":1},"citationItems":[{"id":99,"uris":["http://zotero.org/users/8604945/items/3LLKBLWQ"],"uri":["http://zotero.org/users/8604945/items/3LLKBLWQ"],"itemData":{"id":99,"type":"article","title":"Carta a los obispos de la Iglesia católica sobre la atención pastoral a las personas homosexuales","URL":"https://www.vatican.va/roman_curia/congregations/cfaith/documents/rc_con_cfaith_doc_19861001_homosexual-persons_sp.html","author":[{"family":"Congración de la Doctrina de la fe","given":""}],"accessed":{"date-parts":[["2021",11,15]]},"issued":{"date-parts":[["1986",10,1]]}}}],"schema":"https://github.com/citation-style-language/schema/raw/master/csl-citation.json"} </w:instrText>
      </w:r>
      <w:r>
        <w:fldChar w:fldCharType="separate"/>
      </w:r>
      <w:r w:rsidRPr="000856D7">
        <w:rPr>
          <w:rFonts w:ascii="Calibri" w:cs="Calibri"/>
        </w:rPr>
        <w:t>Congr</w:t>
      </w:r>
      <w:r w:rsidR="00A5589C">
        <w:rPr>
          <w:rFonts w:ascii="Calibri" w:cs="Calibri"/>
        </w:rPr>
        <w:t>eg</w:t>
      </w:r>
      <w:r w:rsidRPr="000856D7">
        <w:rPr>
          <w:rFonts w:ascii="Calibri" w:cs="Calibri"/>
        </w:rPr>
        <w:t>ación de la Doctrina de la fe, «Carta a los obispos de la Iglesia católica sobre la atención pastoral a las personas homosexuales».</w:t>
      </w:r>
      <w:r>
        <w:fldChar w:fldCharType="end"/>
      </w:r>
    </w:p>
  </w:footnote>
  <w:footnote w:id="2">
    <w:p w:rsidR="00A5589C" w:rsidRPr="00A5589C" w:rsidRDefault="00A5589C">
      <w:pPr>
        <w:pStyle w:val="Textonotapie"/>
        <w:rPr>
          <w:lang w:val="it-IT"/>
        </w:rPr>
      </w:pPr>
      <w:r>
        <w:rPr>
          <w:rStyle w:val="Refdenotaalpie"/>
        </w:rPr>
        <w:footnoteRef/>
      </w:r>
      <w:r w:rsidRPr="00A5589C">
        <w:rPr>
          <w:lang w:val="it-IT"/>
        </w:rPr>
        <w:t xml:space="preserve"> </w:t>
      </w:r>
      <w:r>
        <w:fldChar w:fldCharType="begin"/>
      </w:r>
      <w:r w:rsidRPr="00A5589C">
        <w:rPr>
          <w:lang w:val="it-IT"/>
        </w:rPr>
        <w:instrText xml:space="preserve"> ADDIN ZOTERO_ITEM CSL_CITATION {"citationID":"n8fsRVa2","properties":{"formattedCitation":"Mattioli, {\\i{}Sessualit\\uc0\\u224{}, matrimonio e famiglia}.","plainCitation":"Mattioli, Sessualità, matrimonio e famiglia.","noteIndex":2},"citationItems":[{"id":72,"uris":["http://zotero.org/users/8604945/items/U4UBNIMR"],"uri":["http://zotero.org/users/8604945/items/U4UBNIMR"],"itemData":{"id":72,"type":"book","event-place":"Bologna","ISBN":"978-88-7094-205-7","language":"Italian","note":"OCLC: 165375305","publisher":"Ed. Studio Domenicano","publisher-place":"Bologna","source":"Open WorldCat","title":"Sessualità, matrimonio e famiglia","author":[{"family":"Mattioli","given":"Vitaliano"}],"issued":{"date-parts":[["1995"]]}}}],"schema":"https://github.com/citation-style-language/schema/raw/master/csl-citation.json"} </w:instrText>
      </w:r>
      <w:r>
        <w:fldChar w:fldCharType="separate"/>
      </w:r>
      <w:r w:rsidRPr="00A5589C">
        <w:rPr>
          <w:rFonts w:ascii="Calibri" w:cs="Calibri"/>
          <w:lang w:val="it-IT"/>
        </w:rPr>
        <w:t xml:space="preserve">Mattioli, </w:t>
      </w:r>
      <w:r w:rsidRPr="00A5589C">
        <w:rPr>
          <w:rFonts w:ascii="Calibri" w:cs="Calibri"/>
          <w:i/>
          <w:iCs/>
          <w:lang w:val="it-IT"/>
        </w:rPr>
        <w:t>Sessualità, matrimonio e famiglia</w:t>
      </w:r>
      <w:r w:rsidRPr="00A5589C">
        <w:rPr>
          <w:rFonts w:ascii="Calibri" w:cs="Calibri"/>
          <w:lang w:val="it-IT"/>
        </w:rPr>
        <w:t>.</w:t>
      </w:r>
      <w:r>
        <w:fldChar w:fldCharType="end"/>
      </w:r>
      <w:r w:rsidRPr="00A5589C">
        <w:rPr>
          <w:lang w:val="it-IT"/>
        </w:rPr>
        <w:t xml:space="preserve"> </w:t>
      </w:r>
      <w:r>
        <w:t>P.263</w:t>
      </w:r>
    </w:p>
  </w:footnote>
  <w:footnote w:id="3">
    <w:p w:rsidR="000856D7" w:rsidRPr="000856D7" w:rsidRDefault="000856D7" w:rsidP="00B612F3">
      <w:pPr>
        <w:pStyle w:val="Textonotapie"/>
        <w:ind w:left="426" w:hanging="69"/>
        <w:rPr>
          <w:lang w:val="es-ES"/>
        </w:rPr>
      </w:pPr>
      <w:r>
        <w:rPr>
          <w:rStyle w:val="Refdenotaalpie"/>
        </w:rPr>
        <w:footnoteRef/>
      </w:r>
      <w:r>
        <w:t xml:space="preserve"> </w:t>
      </w:r>
      <w:r>
        <w:fldChar w:fldCharType="begin"/>
      </w:r>
      <w:r>
        <w:instrText xml:space="preserve"> ADDIN ZOTERO_ITEM CSL_CITATION {"citationID":"lTAssL4L","properties":{"formattedCitation":"Universidad de Navarra y Facultad de Teolog\\uc0\\u237{}a, {\\i{}Sagrada Biblia}.","plainCitation":"Universidad de Navarra y Facultad de Teología, Sagrada Biblia.","noteIndex":3},"citationItems":[{"id":90,"uris":["http://zotero.org/users/8604945/items/8DW25SJN"],"uri":["http://zotero.org/users/8604945/items/8DW25SJN"],"itemData":{"id":90,"type":"book","event-place":"Barain (Navarra)","ISBN":"978-84-313-1700-3","language":"Spanish","note":"OCLC: 733655691","publisher":"EUNSA","publisher-place":"Barain (Navarra)","source":"Open WorldCat","title":"Sagrada Biblia","author":[{"literal":"Universidad de Navarra"},{"literal":"Facultad de Teología"}],"issued":{"date-parts":[["1999"]]}}}],"schema":"https://github.com/citation-style-language/schema/raw/master/csl-citation.json"} </w:instrText>
      </w:r>
      <w:r>
        <w:fldChar w:fldCharType="separate"/>
      </w:r>
      <w:r w:rsidRPr="000856D7">
        <w:rPr>
          <w:rFonts w:ascii="Calibri" w:cs="Calibri"/>
        </w:rPr>
        <w:t xml:space="preserve">Universidad de Navarra y Facultad de Teología, </w:t>
      </w:r>
      <w:r w:rsidRPr="000856D7">
        <w:rPr>
          <w:rFonts w:ascii="Calibri" w:cs="Calibri"/>
          <w:i/>
          <w:iCs/>
        </w:rPr>
        <w:t>Sagrada Biblia</w:t>
      </w:r>
      <w:r w:rsidRPr="000856D7">
        <w:rPr>
          <w:rFonts w:ascii="Calibri" w:cs="Calibri"/>
        </w:rPr>
        <w:t>.</w:t>
      </w:r>
      <w:r>
        <w:fldChar w:fldCharType="end"/>
      </w:r>
      <w:r w:rsidR="00B612F3">
        <w:t xml:space="preserve"> Todos los textos citados de la Sagrada Escritura lo son de esta edición, salvo cita contraria</w:t>
      </w:r>
    </w:p>
  </w:footnote>
  <w:footnote w:id="4">
    <w:p w:rsidR="00DC1D60" w:rsidRPr="00DC1D60" w:rsidRDefault="00DC1D60">
      <w:pPr>
        <w:pStyle w:val="Textonotapie"/>
        <w:rPr>
          <w:lang w:val="es-ES"/>
        </w:rPr>
      </w:pPr>
      <w:r>
        <w:rPr>
          <w:rStyle w:val="Refdenotaalpie"/>
        </w:rPr>
        <w:footnoteRef/>
      </w:r>
      <w:r w:rsidRPr="00693EDA">
        <w:rPr>
          <w:lang w:val="es-ES"/>
        </w:rPr>
        <w:t xml:space="preserve"> </w:t>
      </w:r>
      <w:r>
        <w:fldChar w:fldCharType="begin"/>
      </w:r>
      <w:r w:rsidR="00A5589C">
        <w:rPr>
          <w:lang w:val="es-ES"/>
        </w:rPr>
        <w:instrText xml:space="preserve"> ADDIN ZOTERO_ITEM CSL_CITATION {"citationID":"vtmnT1eP","properties":{"formattedCitation":"Vitaliano Mattioli, {\\i{}Sessualit\\uc0\\u224{}, matrimonio e famiglia} (Bologna: Ed. Studio Domenicano, 1995).","plainCitation":"Vitaliano Mattioli, Sessualità, matrimonio e famiglia (Bologna: Ed. Studio Domenicano, 1995).","dontUpdate":true,"noteIndex":4},"citationItems":[{"id":72,"uris":["http://zotero.org/users/8604945/items/U4UBNIMR"],"uri":["http://zotero.org/users/8604945/items/U4UBNIMR"],"itemData":{"id":72,"type":"book","event-place":"Bologna","ISBN":"978-88-7094-205-7","language":"Italian","note":"OCLC: 165375305","publisher":"Ed. Studio Domenicano","publisher-place":"Bologna","source":"Open WorldCat","title":"Sessualità, matrimonio e famiglia","author":[{"family":"Mattioli","given":"Vitaliano"}],"issued":{"date-parts":[["1995"]]}}}],"schema":"https://github.com/citation-style-language/schema/raw/master/csl-citation.json"} </w:instrText>
      </w:r>
      <w:r>
        <w:fldChar w:fldCharType="separate"/>
      </w:r>
      <w:r w:rsidR="007B2514" w:rsidRPr="00693EDA">
        <w:rPr>
          <w:rFonts w:ascii="Calibri" w:cs="Calibri"/>
          <w:lang w:val="es-ES"/>
        </w:rPr>
        <w:t>(</w:t>
      </w:r>
      <w:proofErr w:type="spellStart"/>
      <w:r w:rsidR="007B2514" w:rsidRPr="00693EDA">
        <w:rPr>
          <w:rFonts w:ascii="Calibri" w:cs="Calibri"/>
          <w:lang w:val="es-ES"/>
        </w:rPr>
        <w:t>Mattioli</w:t>
      </w:r>
      <w:proofErr w:type="spellEnd"/>
      <w:r w:rsidR="007B2514" w:rsidRPr="00693EDA">
        <w:rPr>
          <w:rFonts w:ascii="Calibri" w:cs="Calibri"/>
          <w:lang w:val="es-ES"/>
        </w:rPr>
        <w:t>, 1995)</w:t>
      </w:r>
      <w:r>
        <w:fldChar w:fldCharType="end"/>
      </w:r>
      <w:r w:rsidR="00B973D0">
        <w:t xml:space="preserve"> P. 246</w:t>
      </w:r>
    </w:p>
  </w:footnote>
  <w:footnote w:id="5">
    <w:p w:rsidR="000856D7" w:rsidRPr="000856D7" w:rsidRDefault="000856D7">
      <w:pPr>
        <w:pStyle w:val="Textonotapie"/>
        <w:rPr>
          <w:lang w:val="es-ES"/>
        </w:rPr>
      </w:pPr>
      <w:r>
        <w:rPr>
          <w:rStyle w:val="Refdenotaalpie"/>
        </w:rPr>
        <w:footnoteRef/>
      </w:r>
      <w:r>
        <w:t xml:space="preserve"> </w:t>
      </w:r>
      <w:r>
        <w:fldChar w:fldCharType="begin"/>
      </w:r>
      <w:r>
        <w:instrText xml:space="preserve"> ADDIN ZOTERO_ITEM CSL_CITATION {"citationID":"P91b2lMu","properties":{"formattedCitation":"Colom y Rodr\\uc0\\u237{}guez Lu\\uc0\\u241{}o, {\\i{}Elegidos en Cristo para ser santos}.","plainCitation":"Colom y Rodríguez Luño, Elegidos en Cristo para ser santos.","noteIndex":6},"citationItems":[{"id":56,"uris":["http://zotero.org/users/8604945/items/3HMSFVQW"],"uri":["http://zotero.org/users/8604945/items/3HMSFVQW"],"itemData":{"id":56,"type":"book","event-place":"Madrid, España","ISBN":"978-84-8239-494-7","language":"Spanish","note":"OCLC: 1043402551","publisher":"Palabra","publisher-place":"Madrid, España","source":"Open WorldCat","title":"Elegidos en Cristo para ser santos: Curso de teología moral fundamental","title-short":"Elegidos en Cristo para ser santos","author":[{"family":"Colom","given":"Enrique"},{"family":"Rodríguez Luño","given":"Angel"}],"issued":{"date-parts":[["2011"]]}}}],"schema":"https://github.com/citation-style-language/schema/raw/master/csl-citation.json"} </w:instrText>
      </w:r>
      <w:r>
        <w:fldChar w:fldCharType="separate"/>
      </w:r>
      <w:r w:rsidRPr="000856D7">
        <w:rPr>
          <w:rFonts w:ascii="Calibri" w:cs="Calibri"/>
        </w:rPr>
        <w:t xml:space="preserve">Colom y Rodríguez Luño, </w:t>
      </w:r>
      <w:r w:rsidRPr="000856D7">
        <w:rPr>
          <w:rFonts w:ascii="Calibri" w:cs="Calibri"/>
          <w:i/>
          <w:iCs/>
        </w:rPr>
        <w:t>Elegidos en Cristo para ser santos</w:t>
      </w:r>
      <w:r w:rsidRPr="000856D7">
        <w:rPr>
          <w:rFonts w:ascii="Calibri" w:cs="Calibri"/>
        </w:rPr>
        <w:t>.</w:t>
      </w:r>
      <w:r>
        <w:fldChar w:fldCharType="end"/>
      </w:r>
      <w:r>
        <w:t xml:space="preserve"> </w:t>
      </w:r>
      <w:r w:rsidRPr="000856D7">
        <w:rPr>
          <w:rFonts w:ascii="Calibri" w:cs="Calibri"/>
          <w:lang w:val="es-ES"/>
        </w:rPr>
        <w:t xml:space="preserve">p 224-228. En este capítulo los autores explican que en el </w:t>
      </w:r>
      <w:r>
        <w:rPr>
          <w:rFonts w:ascii="Calibri" w:cs="Calibri"/>
          <w:lang w:val="es-ES"/>
        </w:rPr>
        <w:t xml:space="preserve">mundo antiguo había una disociación entre el amor, el matrimonio y las relaciones sexuales, que facilitaban comportamientos que hoy denominamos </w:t>
      </w:r>
      <w:r>
        <w:rPr>
          <w:rFonts w:ascii="Calibri" w:cs="Calibri"/>
          <w:i/>
          <w:lang w:val="es-ES"/>
        </w:rPr>
        <w:t>homosexuales</w:t>
      </w:r>
      <w:r>
        <w:rPr>
          <w:rFonts w:ascii="Calibri" w:cs="Calibri"/>
          <w:lang w:val="es-ES"/>
        </w:rPr>
        <w:t>, pero que no eran vistos así por la</w:t>
      </w:r>
      <w:r w:rsidR="0012067E">
        <w:rPr>
          <w:rFonts w:ascii="Calibri" w:cs="Calibri"/>
          <w:lang w:val="es-ES"/>
        </w:rPr>
        <w:t>s</w:t>
      </w:r>
      <w:r>
        <w:rPr>
          <w:rFonts w:ascii="Calibri" w:cs="Calibri"/>
          <w:lang w:val="es-ES"/>
        </w:rPr>
        <w:t xml:space="preserve"> personas de la antigüedad.</w:t>
      </w:r>
    </w:p>
  </w:footnote>
  <w:footnote w:id="6">
    <w:p w:rsidR="005248DC" w:rsidRPr="005248DC" w:rsidRDefault="005248DC" w:rsidP="00BD11C3">
      <w:pPr>
        <w:pStyle w:val="Textonotapie"/>
        <w:rPr>
          <w:lang w:val="es-ES"/>
        </w:rPr>
      </w:pPr>
      <w:r w:rsidRPr="00BD11C3">
        <w:rPr>
          <w:rStyle w:val="Refdenotaalpie"/>
        </w:rPr>
        <w:footnoteRef/>
      </w:r>
      <w:r w:rsidRPr="00BD11C3">
        <w:t xml:space="preserve"> </w:t>
      </w:r>
      <w:r w:rsidR="00BD11C3" w:rsidRPr="00BD11C3">
        <w:t xml:space="preserve">Los </w:t>
      </w:r>
      <w:r w:rsidR="00BD11C3" w:rsidRPr="00BD11C3">
        <w:rPr>
          <w:i/>
        </w:rPr>
        <w:t>depravados</w:t>
      </w:r>
      <w:r w:rsidR="00BD11C3">
        <w:t xml:space="preserve"> [Biblia de Jerusalén y </w:t>
      </w:r>
      <w:proofErr w:type="spellStart"/>
      <w:r w:rsidR="00BD11C3">
        <w:t>Ostyl</w:t>
      </w:r>
      <w:proofErr w:type="spellEnd"/>
      <w:r w:rsidR="00BD11C3">
        <w:t xml:space="preserve">, los </w:t>
      </w:r>
      <w:proofErr w:type="spellStart"/>
      <w:r w:rsidR="00BD11C3" w:rsidRPr="00BD11C3">
        <w:rPr>
          <w:i/>
        </w:rPr>
        <w:t>pasives</w:t>
      </w:r>
      <w:proofErr w:type="spellEnd"/>
      <w:r w:rsidR="00BD11C3">
        <w:t xml:space="preserve"> [</w:t>
      </w:r>
      <w:proofErr w:type="spellStart"/>
      <w:r w:rsidR="00BD11C3">
        <w:t>Bible</w:t>
      </w:r>
      <w:proofErr w:type="spellEnd"/>
      <w:r w:rsidR="00BD11C3">
        <w:t xml:space="preserve"> </w:t>
      </w:r>
      <w:proofErr w:type="spellStart"/>
      <w:r w:rsidR="00BD11C3">
        <w:t>Bayard</w:t>
      </w:r>
      <w:proofErr w:type="spellEnd"/>
      <w:r w:rsidR="00BD11C3">
        <w:t xml:space="preserve">), los </w:t>
      </w:r>
      <w:r w:rsidR="00BD11C3" w:rsidRPr="00BD11C3">
        <w:rPr>
          <w:i/>
        </w:rPr>
        <w:t>afeminados</w:t>
      </w:r>
      <w:r w:rsidR="00BD11C3">
        <w:t xml:space="preserve"> [</w:t>
      </w:r>
      <w:proofErr w:type="spellStart"/>
      <w:r w:rsidR="00BD11C3">
        <w:t>Segond</w:t>
      </w:r>
      <w:proofErr w:type="spellEnd"/>
      <w:r w:rsidR="00BD11C3">
        <w:t xml:space="preserve">). </w:t>
      </w:r>
      <w:r w:rsidR="00BD11C3" w:rsidRPr="00BD11C3">
        <w:rPr>
          <w:i/>
        </w:rPr>
        <w:t>Las gentes de costumbres infames</w:t>
      </w:r>
      <w:r w:rsidR="00BD11C3">
        <w:t xml:space="preserve"> [BJ], los </w:t>
      </w:r>
      <w:r w:rsidR="00BD11C3" w:rsidRPr="00BD11C3">
        <w:rPr>
          <w:i/>
        </w:rPr>
        <w:t>sodomitas</w:t>
      </w:r>
      <w:r w:rsidR="00BD11C3">
        <w:t xml:space="preserve"> (</w:t>
      </w:r>
      <w:proofErr w:type="spellStart"/>
      <w:r w:rsidR="00BD11C3">
        <w:t>Osty</w:t>
      </w:r>
      <w:proofErr w:type="spellEnd"/>
      <w:r w:rsidR="00BD11C3">
        <w:t xml:space="preserve">. </w:t>
      </w:r>
      <w:proofErr w:type="spellStart"/>
      <w:r w:rsidR="00BD11C3">
        <w:t>blia</w:t>
      </w:r>
      <w:proofErr w:type="spellEnd"/>
      <w:r w:rsidR="00BD11C3">
        <w:t xml:space="preserve"> </w:t>
      </w:r>
      <w:proofErr w:type="spellStart"/>
      <w:r w:rsidR="00BD11C3">
        <w:t>Hlayard</w:t>
      </w:r>
      <w:proofErr w:type="spellEnd"/>
      <w:r w:rsidR="00BD11C3">
        <w:t xml:space="preserve">], los </w:t>
      </w:r>
      <w:r w:rsidR="00BD11C3" w:rsidRPr="00BD11C3">
        <w:rPr>
          <w:i/>
        </w:rPr>
        <w:t>infames</w:t>
      </w:r>
      <w:r w:rsidR="00BD11C3">
        <w:t xml:space="preserve"> [</w:t>
      </w:r>
      <w:proofErr w:type="spellStart"/>
      <w:r w:rsidR="00BD11C3">
        <w:t>Segond</w:t>
      </w:r>
      <w:proofErr w:type="spellEnd"/>
      <w:r w:rsidR="00BD11C3">
        <w:t xml:space="preserve">]. Las traducciones inglesas y americanas no dudan en algunos casos en proponer </w:t>
      </w:r>
      <w:proofErr w:type="spellStart"/>
      <w:r w:rsidR="00BD11C3" w:rsidRPr="00BD11C3">
        <w:rPr>
          <w:i/>
        </w:rPr>
        <w:t>practicing</w:t>
      </w:r>
      <w:proofErr w:type="spellEnd"/>
      <w:r w:rsidR="00BD11C3" w:rsidRPr="00BD11C3">
        <w:rPr>
          <w:i/>
        </w:rPr>
        <w:t xml:space="preserve"> </w:t>
      </w:r>
      <w:proofErr w:type="spellStart"/>
      <w:r w:rsidR="00BD11C3" w:rsidRPr="00BD11C3">
        <w:rPr>
          <w:i/>
        </w:rPr>
        <w:t>homosexuals</w:t>
      </w:r>
      <w:proofErr w:type="spellEnd"/>
      <w:r w:rsidR="00BD11C3">
        <w:t xml:space="preserve"> (New American </w:t>
      </w:r>
      <w:proofErr w:type="spellStart"/>
      <w:r w:rsidR="00BD11C3">
        <w:t>Bible</w:t>
      </w:r>
      <w:proofErr w:type="spellEnd"/>
      <w:r w:rsidR="00BD11C3">
        <w:t xml:space="preserve"> 2nd </w:t>
      </w:r>
      <w:proofErr w:type="spellStart"/>
      <w:r w:rsidR="00BD11C3">
        <w:t>edition</w:t>
      </w:r>
      <w:proofErr w:type="spellEnd"/>
      <w:r w:rsidR="00BD11C3">
        <w:t xml:space="preserve">). En el texto francés original se utiliza la </w:t>
      </w:r>
      <w:proofErr w:type="spellStart"/>
      <w:r w:rsidR="00BD11C3">
        <w:t>Traduction</w:t>
      </w:r>
      <w:proofErr w:type="spellEnd"/>
      <w:r w:rsidR="00BD11C3">
        <w:t xml:space="preserve"> </w:t>
      </w:r>
      <w:proofErr w:type="spellStart"/>
      <w:r w:rsidR="00BD11C3">
        <w:t>Oecuménique</w:t>
      </w:r>
      <w:proofErr w:type="spellEnd"/>
      <w:r w:rsidR="00BD11C3">
        <w:t xml:space="preserve"> de la </w:t>
      </w:r>
      <w:proofErr w:type="spellStart"/>
      <w:r w:rsidR="00BD11C3">
        <w:t>Bible</w:t>
      </w:r>
      <w:proofErr w:type="spellEnd"/>
      <w:r w:rsidR="00BD11C3">
        <w:t xml:space="preserve"> (TOB). Para la traducción española se ha utilizado el texto de la Biblia de Jerusalén con las aclaraciones necesarias.</w:t>
      </w:r>
    </w:p>
  </w:footnote>
  <w:footnote w:id="7">
    <w:p w:rsidR="000856D7" w:rsidRPr="000856D7" w:rsidRDefault="000856D7">
      <w:pPr>
        <w:pStyle w:val="Textonotapie"/>
        <w:rPr>
          <w:lang w:val="es-ES"/>
        </w:rPr>
      </w:pPr>
      <w:r>
        <w:rPr>
          <w:rStyle w:val="Refdenotaalpie"/>
        </w:rPr>
        <w:footnoteRef/>
      </w:r>
      <w:r>
        <w:t xml:space="preserve"> </w:t>
      </w:r>
      <w:r>
        <w:fldChar w:fldCharType="begin"/>
      </w:r>
      <w:r w:rsidR="00A5589C">
        <w:instrText xml:space="preserve"> ADDIN ZOTERO_ITEM CSL_CITATION {"citationID":"5jls2ugU","properties":{"formattedCitation":"Himbaza, Schenker, y Edart, {\\i{}Consideraciones sobre la homosexualidad en la Biblia}.","plainCitation":"Himbaza, Schenker, y Edart, Consideraciones sobre la homosexualidad en la Biblia.","noteIndex":7},"citationItems":[{"id":71,"uris":["http://zotero.org/users/8604945/items/UDHMV7BP"],"uri":["http://zotero.org/users/8604945/items/UDHMV7BP"],"itemData":{"id":71,"type":"book","event-place":"Madrid","ISBN":"978-84-9840-150-9","language":"Spanish","note":"OCLC: 433863945","publisher":"Palabra","publisher-place":"Madrid","title":"Consideraciones sobre la homosexualidad en la Biblia","author":[{"family":"Himbaza","given":"Innocent"},{"family":"Schenker","given":"Adrian"},{"family":"Edart","given":"Jean-Baptiste"}],"issued":{"date-parts":[["2008"]]}}}],"schema":"https://github.com/citation-style-language/schema/raw/master/csl-citation.json"} </w:instrText>
      </w:r>
      <w:r>
        <w:fldChar w:fldCharType="separate"/>
      </w:r>
      <w:proofErr w:type="spellStart"/>
      <w:r w:rsidRPr="000856D7">
        <w:rPr>
          <w:rFonts w:ascii="Calibri" w:cs="Calibri"/>
        </w:rPr>
        <w:t>Himbaza</w:t>
      </w:r>
      <w:proofErr w:type="spellEnd"/>
      <w:r w:rsidRPr="000856D7">
        <w:rPr>
          <w:rFonts w:ascii="Calibri" w:cs="Calibri"/>
        </w:rPr>
        <w:t xml:space="preserve">, </w:t>
      </w:r>
      <w:proofErr w:type="spellStart"/>
      <w:r w:rsidRPr="000856D7">
        <w:rPr>
          <w:rFonts w:ascii="Calibri" w:cs="Calibri"/>
        </w:rPr>
        <w:t>Schenker</w:t>
      </w:r>
      <w:proofErr w:type="spellEnd"/>
      <w:r w:rsidRPr="000856D7">
        <w:rPr>
          <w:rFonts w:ascii="Calibri" w:cs="Calibri"/>
        </w:rPr>
        <w:t xml:space="preserve">, y </w:t>
      </w:r>
      <w:proofErr w:type="spellStart"/>
      <w:r w:rsidRPr="000856D7">
        <w:rPr>
          <w:rFonts w:ascii="Calibri" w:cs="Calibri"/>
        </w:rPr>
        <w:t>Edart</w:t>
      </w:r>
      <w:proofErr w:type="spellEnd"/>
      <w:r w:rsidRPr="000856D7">
        <w:rPr>
          <w:rFonts w:ascii="Calibri" w:cs="Calibri"/>
        </w:rPr>
        <w:t xml:space="preserve">, </w:t>
      </w:r>
      <w:r w:rsidRPr="000856D7">
        <w:rPr>
          <w:rFonts w:ascii="Calibri" w:cs="Calibri"/>
          <w:i/>
          <w:iCs/>
        </w:rPr>
        <w:t>Consideraciones sobre la homosexualidad en la Biblia</w:t>
      </w:r>
      <w:r w:rsidRPr="000856D7">
        <w:rPr>
          <w:rFonts w:ascii="Calibri" w:cs="Calibri"/>
        </w:rPr>
        <w:t>.</w:t>
      </w:r>
      <w:r>
        <w:fldChar w:fldCharType="end"/>
      </w:r>
    </w:p>
  </w:footnote>
  <w:footnote w:id="8">
    <w:p w:rsidR="000856D7" w:rsidRPr="000856D7" w:rsidRDefault="000856D7">
      <w:pPr>
        <w:pStyle w:val="Textonotapie"/>
        <w:rPr>
          <w:lang w:val="it-IT"/>
        </w:rPr>
      </w:pPr>
      <w:r>
        <w:rPr>
          <w:rStyle w:val="Refdenotaalpie"/>
        </w:rPr>
        <w:footnoteRef/>
      </w:r>
      <w:r w:rsidRPr="000856D7">
        <w:rPr>
          <w:lang w:val="it-IT"/>
        </w:rPr>
        <w:t xml:space="preserve"> </w:t>
      </w:r>
      <w:r>
        <w:fldChar w:fldCharType="begin"/>
      </w:r>
      <w:r w:rsidR="00A5589C">
        <w:rPr>
          <w:lang w:val="it-IT"/>
        </w:rPr>
        <w:instrText xml:space="preserve"> ADDIN ZOTERO_ITEM CSL_CITATION {"citationID":"WWSbQmdN","properties":{"formattedCitation":"Mattioli, {\\i{}Sessualit\\uc0\\u224{}, matrimonio e famiglia}.","plainCitation":"Mattioli, Sessualità, matrimonio e famiglia.","noteIndex":8},"citationItems":[{"id":72,"uris":["http://zotero.org/users/8604945/items/U4UBNIMR"],"uri":["http://zotero.org/users/8604945/items/U4UBNIMR"],"itemData":{"id":72,"type":"book","event-place":"Bologna","ISBN":"978-88-7094-205-7","language":"Italian","note":"OCLC: 165375305","publisher":"Ed. Studio Domenicano","publisher-place":"Bologna","source":"Open WorldCat","title":"Sessualità, matrimonio e famiglia","author":[{"family":"Mattioli","given":"Vitaliano"}],"issued":{"date-parts":[["1995"]]}}}],"schema":"https://github.com/citation-style-language/schema/raw/master/csl-citation.json"} </w:instrText>
      </w:r>
      <w:r>
        <w:fldChar w:fldCharType="separate"/>
      </w:r>
      <w:r w:rsidRPr="000856D7">
        <w:rPr>
          <w:rFonts w:ascii="Calibri" w:cs="Calibri"/>
          <w:lang w:val="it-IT"/>
        </w:rPr>
        <w:t xml:space="preserve">Mattioli, </w:t>
      </w:r>
      <w:r w:rsidRPr="000856D7">
        <w:rPr>
          <w:rFonts w:ascii="Calibri" w:cs="Calibri"/>
          <w:i/>
          <w:iCs/>
          <w:lang w:val="it-IT"/>
        </w:rPr>
        <w:t>Sessualità, matrimonio e famiglia</w:t>
      </w:r>
      <w:r w:rsidRPr="000856D7">
        <w:rPr>
          <w:rFonts w:ascii="Calibri" w:cs="Calibri"/>
          <w:lang w:val="it-IT"/>
        </w:rPr>
        <w:t>.</w:t>
      </w:r>
      <w:r>
        <w:fldChar w:fldCharType="end"/>
      </w:r>
    </w:p>
  </w:footnote>
  <w:footnote w:id="9">
    <w:p w:rsidR="004B6B57" w:rsidRPr="000856D7" w:rsidRDefault="004B6B57" w:rsidP="0012067E">
      <w:pPr>
        <w:pStyle w:val="Textonotapie"/>
        <w:ind w:left="426" w:hanging="69"/>
        <w:rPr>
          <w:lang w:val="es-ES"/>
        </w:rPr>
      </w:pPr>
      <w:r>
        <w:rPr>
          <w:rStyle w:val="Refdenotaalpie"/>
        </w:rPr>
        <w:footnoteRef/>
      </w:r>
      <w:r w:rsidRPr="000856D7">
        <w:rPr>
          <w:lang w:val="en-US"/>
        </w:rPr>
        <w:t xml:space="preserve"> </w:t>
      </w:r>
      <w:r>
        <w:fldChar w:fldCharType="begin"/>
      </w:r>
      <w:r w:rsidR="00A5589C">
        <w:rPr>
          <w:lang w:val="en-US"/>
        </w:rPr>
        <w:instrText xml:space="preserve"> ADDIN ZOTERO_ITEM CSL_CITATION {"citationID":"0bTPrJ6G","properties":{"formattedCitation":"MacNeill, {\\i{}The Church and the Homosexual}.","plainCitation":"MacNeill, The Church and the Homosexual.","noteIndex":9},"citationItems":[{"id":94,"uris":["http://zotero.org/users/8604945/items/LWMPLLTT"],"uri":["http://zotero.org/users/8604945/items/LWMPLLTT"],"itemData":{"id":94,"type":"book","event-place":"Boston","ISBN":"978-0-8070-7931-7","language":"English","note":"OCLC: 246660983","publisher":"Beacon Press","publisher-place":"Boston","source":"Open WorldCat","title":"The church and the homosexual","author":[{"family":"MacNeill","given":"John J"}],"issued":{"date-parts":[["1993"]]}}}],"schema":"https://github.com/citation-style-language/schema/raw/master/csl-citation.json"} </w:instrText>
      </w:r>
      <w:r>
        <w:fldChar w:fldCharType="separate"/>
      </w:r>
      <w:r w:rsidR="000856D7" w:rsidRPr="000856D7">
        <w:rPr>
          <w:rFonts w:ascii="Calibri" w:cs="Calibri"/>
          <w:lang w:val="en-US"/>
        </w:rPr>
        <w:t xml:space="preserve">MacNeill, </w:t>
      </w:r>
      <w:r w:rsidR="000856D7" w:rsidRPr="000856D7">
        <w:rPr>
          <w:rFonts w:ascii="Calibri" w:cs="Calibri"/>
          <w:i/>
          <w:iCs/>
          <w:lang w:val="en-US"/>
        </w:rPr>
        <w:t>The Church and the Homosexual</w:t>
      </w:r>
      <w:r w:rsidR="000856D7" w:rsidRPr="000856D7">
        <w:rPr>
          <w:rFonts w:ascii="Calibri" w:cs="Calibri"/>
          <w:lang w:val="en-US"/>
        </w:rPr>
        <w:t>.</w:t>
      </w:r>
      <w:r>
        <w:fldChar w:fldCharType="end"/>
      </w:r>
      <w:r w:rsidRPr="000856D7">
        <w:rPr>
          <w:lang w:val="en-US"/>
        </w:rPr>
        <w:t xml:space="preserve"> </w:t>
      </w:r>
      <w:proofErr w:type="spellStart"/>
      <w:r w:rsidRPr="000856D7">
        <w:rPr>
          <w:lang w:val="en-US"/>
        </w:rPr>
        <w:t>Citado</w:t>
      </w:r>
      <w:proofErr w:type="spellEnd"/>
      <w:r w:rsidRPr="000856D7">
        <w:rPr>
          <w:lang w:val="en-US"/>
        </w:rPr>
        <w:t xml:space="preserve"> </w:t>
      </w:r>
      <w:proofErr w:type="spellStart"/>
      <w:r w:rsidRPr="000856D7">
        <w:rPr>
          <w:lang w:val="en-US"/>
        </w:rPr>
        <w:t>por</w:t>
      </w:r>
      <w:proofErr w:type="spellEnd"/>
      <w:r w:rsidRPr="000856D7">
        <w:rPr>
          <w:lang w:val="en-US"/>
        </w:rPr>
        <w:t xml:space="preserve"> </w:t>
      </w:r>
      <w:r w:rsidR="00436B77">
        <w:rPr>
          <w:lang w:val="es-ES"/>
        </w:rPr>
        <w:fldChar w:fldCharType="begin"/>
      </w:r>
      <w:r w:rsidR="00A5589C">
        <w:rPr>
          <w:lang w:val="en-US"/>
        </w:rPr>
        <w:instrText xml:space="preserve"> ADDIN ZOTERO_ITEM CSL_CITATION {"citationID":"6wR18mVB","properties":{"formattedCitation":"Shore-Goss, \\uc0\\u171{}La homosexualidad y la Biblia\\uc0\\u187{}.","plainCitation":"Shore-Goss, «La homosexualidad y la Biblia».","noteIndex":9},"citationItems":[{"id":95,"uris":["http://zotero.org/users/8604945/items/Z8RVW4AJ"],"uri":["http://zotero.org/users/8604945/items/Z8RVW4AJ"],"itemData":{"id":95,"type":"article-journal","container-title":"Conexión Queer: Revista Latinoamericana y Caribeña de Teologías Queer","ISSN":"2545-8728","issue":"1","page":"71-101","title":"La homosexualidad y la Biblia: Practicando textos seguros","title-short":"La homosexualidad y la Biblia","volume":"3","author":[{"family":"Shore-Goss","given":"Robert"}],"issued":{"date-parts":[["2020",12,20]]}}}],"schema":"https://github.com/citation-style-language/schema/raw/master/csl-citation.json"} </w:instrText>
      </w:r>
      <w:r w:rsidR="00436B77">
        <w:rPr>
          <w:lang w:val="es-ES"/>
        </w:rPr>
        <w:fldChar w:fldCharType="separate"/>
      </w:r>
      <w:r w:rsidR="000856D7" w:rsidRPr="000856D7">
        <w:rPr>
          <w:rFonts w:ascii="Calibri" w:cs="Calibri"/>
          <w:lang w:val="en-US"/>
        </w:rPr>
        <w:t xml:space="preserve">Shore-Goss, «La </w:t>
      </w:r>
      <w:proofErr w:type="spellStart"/>
      <w:r w:rsidR="000856D7" w:rsidRPr="000856D7">
        <w:rPr>
          <w:rFonts w:ascii="Calibri" w:cs="Calibri"/>
          <w:lang w:val="en-US"/>
        </w:rPr>
        <w:t>homosexualidad</w:t>
      </w:r>
      <w:proofErr w:type="spellEnd"/>
      <w:r w:rsidR="000856D7" w:rsidRPr="000856D7">
        <w:rPr>
          <w:rFonts w:ascii="Calibri" w:cs="Calibri"/>
          <w:lang w:val="en-US"/>
        </w:rPr>
        <w:t xml:space="preserve"> y la Biblia».</w:t>
      </w:r>
      <w:r w:rsidR="00436B77">
        <w:rPr>
          <w:lang w:val="es-ES"/>
        </w:rPr>
        <w:fldChar w:fldCharType="end"/>
      </w:r>
      <w:r w:rsidR="00436B77" w:rsidRPr="000856D7">
        <w:rPr>
          <w:lang w:val="en-US"/>
        </w:rPr>
        <w:t xml:space="preserve"> </w:t>
      </w:r>
      <w:proofErr w:type="spellStart"/>
      <w:r w:rsidR="00436B77" w:rsidRPr="000856D7">
        <w:rPr>
          <w:lang w:val="en-US"/>
        </w:rPr>
        <w:t>por</w:t>
      </w:r>
      <w:proofErr w:type="spellEnd"/>
      <w:r w:rsidR="00436B77" w:rsidRPr="000856D7">
        <w:rPr>
          <w:lang w:val="en-US"/>
        </w:rPr>
        <w:t xml:space="preserve"> </w:t>
      </w:r>
      <w:r w:rsidR="00436B77">
        <w:rPr>
          <w:lang w:val="es-ES"/>
        </w:rPr>
        <w:fldChar w:fldCharType="begin"/>
      </w:r>
      <w:r w:rsidR="00A5589C">
        <w:rPr>
          <w:lang w:val="en-US"/>
        </w:rPr>
        <w:instrText xml:space="preserve"> ADDIN ZOTERO_ITEM CSL_CITATION {"citationID":"zMCIohCL","properties":{"formattedCitation":"Eastman, \\uc0\\u171{}Homosexuality: Not a Sin, Not a Sickness Part II \\uc0\\u8220{}What The Bible Does and Does Not Say...\\uc0\\u8221{}\\uc0\\u187{}","plainCitation":"Eastman, «Homosexuality: Not a Sin, Not a Sickness Part II “What The Bible Does and Does Not Say...”»","noteIndex":9},"citationItems":[{"id":74,"uris":["http://zotero.org/users/8604945/items/JP5UV274"],"uri":["http://zotero.org/users/8604945/items/JP5UV274"],"itemData":{"id":74,"type":"webpage","title":"Homosexuality: Not a Sin, Not a Sickness Part II \"What The Bible Does and Does Not Say...\"","URL":"http://religiousinstitute.org/denom_statements/homosexuality-not-a-sin-not-a-sickness-part-ii-what-the-bible-does-and-does-not-say/","author":[{"family":"Eastman","given":"Rev. Elder Don"}],"accessed":{"date-parts":[["2021",11,3]]}}}],"schema":"https://github.com/citation-style-language/schema/raw/master/csl-citation.json"} </w:instrText>
      </w:r>
      <w:r w:rsidR="00436B77">
        <w:rPr>
          <w:lang w:val="es-ES"/>
        </w:rPr>
        <w:fldChar w:fldCharType="separate"/>
      </w:r>
      <w:r w:rsidR="000856D7" w:rsidRPr="000856D7">
        <w:rPr>
          <w:rFonts w:ascii="Calibri" w:cs="Calibri"/>
          <w:lang w:val="en-US"/>
        </w:rPr>
        <w:t>Eastman, «Homosexuality: Not a Sin, Not a Sickness Part II “What The Bible Does and Does Not Say...”»</w:t>
      </w:r>
      <w:r w:rsidR="00436B77">
        <w:rPr>
          <w:lang w:val="es-ES"/>
        </w:rPr>
        <w:fldChar w:fldCharType="end"/>
      </w:r>
      <w:r w:rsidR="00473283" w:rsidRPr="000856D7">
        <w:rPr>
          <w:lang w:val="en-US"/>
        </w:rPr>
        <w:t xml:space="preserve"> </w:t>
      </w:r>
      <w:r w:rsidR="00473283" w:rsidRPr="000856D7">
        <w:rPr>
          <w:lang w:val="es-ES"/>
        </w:rPr>
        <w:t xml:space="preserve">Y por </w:t>
      </w:r>
      <w:r w:rsidR="00473283">
        <w:rPr>
          <w:lang w:val="es-ES"/>
        </w:rPr>
        <w:fldChar w:fldCharType="begin"/>
      </w:r>
      <w:r w:rsidR="000856D7" w:rsidRPr="000856D7">
        <w:rPr>
          <w:lang w:val="es-ES"/>
        </w:rPr>
        <w:instrText xml:space="preserve"> ADDIN ZOTERO_ITEM CSL_CITATION {"citationID":"396BDuP4","properties":{"formattedCitation":"Awi M., \\uc0\\u171{}\\uc0\\u191{}Qu\\uc0\\u233{} dice la Biblia sobre la homosexualidad?\\uc0\\u187{}","plainCitation":"Awi M., «¿Qué dice la Biblia sobre la homosexualidad?»","noteIndex":10},"citationItems":[{"id":77,"uris":["http://zotero.org/users/8604945/items/S94FQHNQ"],"uri":["http://zotero.org/users/8604945/items/S94FQHNQ"],"itemData":{"id":77,"type":"article-journal","container-title":"Teología y vida","ISSN":"0049-3449","issue":"4","note":"publisher: Pontificia Universidad Católica de Chile","page":"377-398","source":"SciELO","title":"¿Qué dice la Biblia sobre la homosexualidad?","volume":"42","author":[{"family":"Awi M.","given":"Alexandre"}],"issued":{"date-parts":[["2001"]]}}}],"schema":"https://github.com/citation-style-language/schema/raw/master/csl-citation.json"} </w:instrText>
      </w:r>
      <w:r w:rsidR="00473283">
        <w:rPr>
          <w:lang w:val="es-ES"/>
        </w:rPr>
        <w:fldChar w:fldCharType="separate"/>
      </w:r>
      <w:proofErr w:type="spellStart"/>
      <w:r w:rsidR="000856D7" w:rsidRPr="000856D7">
        <w:rPr>
          <w:rFonts w:ascii="Calibri" w:cs="Calibri"/>
        </w:rPr>
        <w:t>Awi</w:t>
      </w:r>
      <w:proofErr w:type="spellEnd"/>
      <w:r w:rsidR="000856D7" w:rsidRPr="000856D7">
        <w:rPr>
          <w:rFonts w:ascii="Calibri" w:cs="Calibri"/>
        </w:rPr>
        <w:t xml:space="preserve"> M., «¿Qué dice la Biblia sobre la homosexualidad?»</w:t>
      </w:r>
      <w:r w:rsidR="00473283">
        <w:rPr>
          <w:lang w:val="es-ES"/>
        </w:rPr>
        <w:fldChar w:fldCharType="end"/>
      </w:r>
    </w:p>
  </w:footnote>
  <w:footnote w:id="10">
    <w:p w:rsidR="000856D7" w:rsidRPr="000856D7" w:rsidRDefault="000856D7">
      <w:pPr>
        <w:pStyle w:val="Textonotapie"/>
        <w:rPr>
          <w:lang w:val="es-ES"/>
        </w:rPr>
      </w:pPr>
      <w:r>
        <w:rPr>
          <w:rStyle w:val="Refdenotaalpie"/>
        </w:rPr>
        <w:footnoteRef/>
      </w:r>
      <w:r>
        <w:t xml:space="preserve"> </w:t>
      </w:r>
      <w:r>
        <w:fldChar w:fldCharType="begin"/>
      </w:r>
      <w:r w:rsidR="00A5589C">
        <w:instrText xml:space="preserve"> ADDIN ZOTERO_ITEM CSL_CITATION {"citationID":"ldfCIHhn","properties":{"formattedCitation":"Shore-Goss, \\uc0\\u171{}La homosexualidad y la Biblia\\uc0\\u187{}.","plainCitation":"Shore-Goss, «La homosexualidad y la Biblia».","noteIndex":10},"citationItems":[{"id":95,"uris":["http://zotero.org/users/8604945/items/Z8RVW4AJ"],"uri":["http://zotero.org/users/8604945/items/Z8RVW4AJ"],"itemData":{"id":95,"type":"article-journal","container-title":"Conexión Queer: Revista Latinoamericana y Caribeña de Teologías Queer","ISSN":"2545-8728","issue":"1","page":"71-101","title":"La homosexualidad y la Biblia: Practicando textos seguros","title-short":"La homosexualidad y la Biblia","volume":"3","author":[{"family":"Shore-Goss","given":"Robert"}],"issued":{"date-parts":[["2020",12,20]]}}}],"schema":"https://github.com/citation-style-language/schema/raw/master/csl-citation.json"} </w:instrText>
      </w:r>
      <w:r>
        <w:fldChar w:fldCharType="separate"/>
      </w:r>
      <w:r w:rsidRPr="000856D7">
        <w:rPr>
          <w:rFonts w:ascii="Calibri" w:cs="Calibri"/>
        </w:rPr>
        <w:t>Shore-</w:t>
      </w:r>
      <w:proofErr w:type="spellStart"/>
      <w:r w:rsidRPr="000856D7">
        <w:rPr>
          <w:rFonts w:ascii="Calibri" w:cs="Calibri"/>
        </w:rPr>
        <w:t>Goss</w:t>
      </w:r>
      <w:proofErr w:type="spellEnd"/>
      <w:r w:rsidRPr="000856D7">
        <w:rPr>
          <w:rFonts w:ascii="Calibri" w:cs="Calibri"/>
        </w:rPr>
        <w:t>, «La homosexualidad y la Biblia».</w:t>
      </w:r>
      <w:r>
        <w:fldChar w:fldCharType="end"/>
      </w:r>
    </w:p>
  </w:footnote>
  <w:footnote w:id="11">
    <w:p w:rsidR="000856D7" w:rsidRPr="000856D7" w:rsidRDefault="000856D7">
      <w:pPr>
        <w:pStyle w:val="Textonotapie"/>
        <w:rPr>
          <w:lang w:val="en-US"/>
        </w:rPr>
      </w:pPr>
      <w:r>
        <w:rPr>
          <w:rStyle w:val="Refdenotaalpie"/>
        </w:rPr>
        <w:footnoteRef/>
      </w:r>
      <w:r w:rsidRPr="000856D7">
        <w:rPr>
          <w:lang w:val="en-US"/>
        </w:rPr>
        <w:t xml:space="preserve"> </w:t>
      </w:r>
      <w:r>
        <w:fldChar w:fldCharType="begin"/>
      </w:r>
      <w:r w:rsidR="00A5589C">
        <w:rPr>
          <w:lang w:val="en-US"/>
        </w:rPr>
        <w:instrText xml:space="preserve"> ADDIN ZOTERO_ITEM CSL_CITATION {"citationID":"B6STFv1c","properties":{"formattedCitation":"Eastman, \\uc0\\u171{}Homosexuality: Not a Sin, Not a Sickness Part II \\uc0\\u8220{}What The Bible Does and Does Not Say...\\uc0\\u8221{}\\uc0\\u187{}","plainCitation":"Eastman, «Homosexuality: Not a Sin, Not a Sickness Part II “What The Bible Does and Does Not Say...”»","noteIndex":11},"citationItems":[{"id":74,"uris":["http://zotero.org/users/8604945/items/JP5UV274"],"uri":["http://zotero.org/users/8604945/items/JP5UV274"],"itemData":{"id":74,"type":"webpage","title":"Homosexuality: Not a Sin, Not a Sickness Part II \"What The Bible Does and Does Not Say...\"","URL":"http://religiousinstitute.org/denom_statements/homosexuality-not-a-sin-not-a-sickness-part-ii-what-the-bible-does-and-does-not-say/","author":[{"family":"Eastman","given":"Rev. Elder Don"}],"accessed":{"date-parts":[["2021",11,3]]}}}],"schema":"https://github.com/citation-style-language/schema/raw/master/csl-citation.json"} </w:instrText>
      </w:r>
      <w:r>
        <w:fldChar w:fldCharType="separate"/>
      </w:r>
      <w:r w:rsidRPr="000856D7">
        <w:rPr>
          <w:rFonts w:ascii="Calibri" w:cs="Calibri"/>
          <w:lang w:val="en-US"/>
        </w:rPr>
        <w:t>Eastman, «Homosexuality: Not a Sin, Not a Sickness Part II “What The Bible Does and Does Not Say</w:t>
      </w:r>
      <w:proofErr w:type="gramStart"/>
      <w:r w:rsidRPr="000856D7">
        <w:rPr>
          <w:rFonts w:ascii="Calibri" w:cs="Calibri"/>
          <w:lang w:val="en-US"/>
        </w:rPr>
        <w:t>...”»</w:t>
      </w:r>
      <w:proofErr w:type="gramEnd"/>
      <w:r>
        <w:fldChar w:fldCharType="end"/>
      </w:r>
    </w:p>
  </w:footnote>
  <w:footnote w:id="12">
    <w:p w:rsidR="00476E36" w:rsidRPr="002467DD" w:rsidRDefault="00476E36">
      <w:pPr>
        <w:pStyle w:val="Textonotapie"/>
        <w:rPr>
          <w:lang w:val="es-ES"/>
        </w:rPr>
      </w:pPr>
      <w:r>
        <w:rPr>
          <w:rStyle w:val="Refdenotaalpie"/>
        </w:rPr>
        <w:footnoteRef/>
      </w:r>
      <w:r w:rsidRPr="00476E36">
        <w:rPr>
          <w:lang w:val="en-US"/>
        </w:rPr>
        <w:t xml:space="preserve"> </w:t>
      </w:r>
      <w:r>
        <w:fldChar w:fldCharType="begin"/>
      </w:r>
      <w:r w:rsidR="00A5589C">
        <w:rPr>
          <w:lang w:val="en-US"/>
        </w:rPr>
        <w:instrText xml:space="preserve"> ADDIN ZOTERO_ITEM CSL_CITATION {"citationID":"L2LNwM83","properties":{"formattedCitation":"MacNeill, {\\i{}The Church and the Homosexual}.","plainCitation":"MacNeill, The Church and the Homosexual.","noteIndex":12},"citationItems":[{"id":94,"uris":["http://zotero.org/users/8604945/items/LWMPLLTT"],"uri":["http://zotero.org/users/8604945/items/LWMPLLTT"],"itemData":{"id":94,"type":"book","event-place":"Boston","ISBN":"978-0-8070-7931-7","language":"English","note":"OCLC: 246660983","publisher":"Beacon Press","publisher-place":"Boston","source":"Open WorldCat","title":"The church and the homosexual","author":[{"family":"MacNeill","given":"John J"}],"issued":{"date-parts":[["1993"]]}}}],"schema":"https://github.com/citation-style-language/schema/raw/master/csl-citation.json"} </w:instrText>
      </w:r>
      <w:r>
        <w:fldChar w:fldCharType="separate"/>
      </w:r>
      <w:r w:rsidRPr="00476E36">
        <w:rPr>
          <w:rFonts w:ascii="Calibri" w:cs="Calibri"/>
          <w:lang w:val="en-US"/>
        </w:rPr>
        <w:t xml:space="preserve">MacNeill, </w:t>
      </w:r>
      <w:r w:rsidRPr="00476E36">
        <w:rPr>
          <w:rFonts w:ascii="Calibri" w:cs="Calibri"/>
          <w:i/>
          <w:iCs/>
          <w:lang w:val="en-US"/>
        </w:rPr>
        <w:t>The Church and the Homosexual</w:t>
      </w:r>
      <w:r w:rsidRPr="00476E36">
        <w:rPr>
          <w:rFonts w:ascii="Calibri" w:cs="Calibri"/>
          <w:lang w:val="en-US"/>
        </w:rPr>
        <w:t>.</w:t>
      </w:r>
      <w:r>
        <w:fldChar w:fldCharType="end"/>
      </w:r>
      <w:r w:rsidRPr="00476E36">
        <w:rPr>
          <w:lang w:val="en-US"/>
        </w:rPr>
        <w:t xml:space="preserve"> </w:t>
      </w:r>
      <w:proofErr w:type="spellStart"/>
      <w:r w:rsidRPr="002467DD">
        <w:rPr>
          <w:lang w:val="es-ES"/>
        </w:rPr>
        <w:t>Part</w:t>
      </w:r>
      <w:proofErr w:type="spellEnd"/>
      <w:r w:rsidRPr="002467DD">
        <w:rPr>
          <w:lang w:val="es-ES"/>
        </w:rPr>
        <w:t xml:space="preserve"> 1. </w:t>
      </w:r>
      <w:proofErr w:type="spellStart"/>
      <w:r w:rsidRPr="002467DD">
        <w:rPr>
          <w:i/>
          <w:lang w:val="es-ES"/>
        </w:rPr>
        <w:t>Problems</w:t>
      </w:r>
      <w:proofErr w:type="spellEnd"/>
      <w:r w:rsidRPr="002467DD">
        <w:rPr>
          <w:i/>
          <w:lang w:val="es-ES"/>
        </w:rPr>
        <w:t xml:space="preserve"> of </w:t>
      </w:r>
      <w:proofErr w:type="spellStart"/>
      <w:r w:rsidRPr="002467DD">
        <w:rPr>
          <w:i/>
          <w:lang w:val="es-ES"/>
        </w:rPr>
        <w:t>translation</w:t>
      </w:r>
      <w:proofErr w:type="spellEnd"/>
      <w:r w:rsidRPr="002467DD">
        <w:rPr>
          <w:i/>
          <w:lang w:val="es-ES"/>
        </w:rPr>
        <w:t xml:space="preserve">. </w:t>
      </w:r>
      <w:r w:rsidRPr="002467DD">
        <w:rPr>
          <w:lang w:val="es-ES"/>
        </w:rPr>
        <w:t>P. 74-80</w:t>
      </w:r>
    </w:p>
  </w:footnote>
  <w:footnote w:id="13">
    <w:p w:rsidR="002467DD" w:rsidRPr="002467DD" w:rsidRDefault="002467DD">
      <w:pPr>
        <w:pStyle w:val="Textonotapie"/>
        <w:rPr>
          <w:lang w:val="es-ES"/>
        </w:rPr>
      </w:pPr>
      <w:r>
        <w:rPr>
          <w:rStyle w:val="Refdenotaalpie"/>
        </w:rPr>
        <w:footnoteRef/>
      </w:r>
      <w:r>
        <w:t xml:space="preserve"> </w:t>
      </w:r>
      <w:r>
        <w:t>Rom1, 18-32</w:t>
      </w:r>
      <w:r>
        <w:t xml:space="preserve">. </w:t>
      </w:r>
      <w:r>
        <w:fldChar w:fldCharType="begin"/>
      </w:r>
      <w:r>
        <w:instrText xml:space="preserve"> ADDIN ZOTERO_ITEM CSL_CITATION {"citationID":"A0xoGLFv","properties":{"formattedCitation":"Universidad de Navarra y Facultad de Teolog\\uc0\\u237{}a, {\\i{}Sagrada Biblia}.","plainCitation":"Universidad de Navarra y Facultad de Teología, Sagrada Biblia.","noteIndex":14},"citationItems":[{"id":90,"uris":["http://zotero.org/users/8604945/items/8DW25SJN"],"uri":["http://zotero.org/users/8604945/items/8DW25SJN"],"itemData":{"id":90,"type":"book","event-place":"Barain (Navarra)","ISBN":"978-84-313-1700-3","language":"Spanish","note":"OCLC: 733655691","publisher":"EUNSA","publisher-place":"Barain (Navarra)","source":"Open WorldCat","title":"Sagrada Biblia","author":[{"literal":"Universidad de Navarra"},{"literal":"Facultad de Teología"}],"issued":{"date-parts":[["1999"]]}}}],"schema":"https://github.com/citation-style-language/schema/raw/master/csl-citation.json"} </w:instrText>
      </w:r>
      <w:r>
        <w:fldChar w:fldCharType="separate"/>
      </w:r>
      <w:r w:rsidRPr="002467DD">
        <w:rPr>
          <w:rFonts w:ascii="Calibri" w:cs="Calibri"/>
        </w:rPr>
        <w:t xml:space="preserve">Universidad de Navarra y Facultad de Teología, </w:t>
      </w:r>
      <w:r w:rsidRPr="002467DD">
        <w:rPr>
          <w:rFonts w:ascii="Calibri" w:cs="Calibri"/>
          <w:i/>
          <w:iCs/>
        </w:rPr>
        <w:t>Sagrada Biblia</w:t>
      </w:r>
      <w:r w:rsidRPr="002467DD">
        <w:rPr>
          <w:rFonts w:ascii="Calibri" w:cs="Calibri"/>
        </w:rPr>
        <w:t>.</w:t>
      </w:r>
      <w:r>
        <w:fldChar w:fldCharType="end"/>
      </w:r>
      <w:r>
        <w:t xml:space="preserve"> </w:t>
      </w:r>
    </w:p>
  </w:footnote>
  <w:footnote w:id="14">
    <w:p w:rsidR="002467DD" w:rsidRPr="00912520" w:rsidRDefault="002467DD" w:rsidP="002467DD">
      <w:pPr>
        <w:pStyle w:val="Textonotapie"/>
        <w:rPr>
          <w:lang w:val="en-US"/>
        </w:rPr>
      </w:pPr>
      <w:r>
        <w:rPr>
          <w:rStyle w:val="Refdenotaalpie"/>
        </w:rPr>
        <w:footnoteRef/>
      </w:r>
      <w:r w:rsidRPr="00912520">
        <w:rPr>
          <w:lang w:val="en-US"/>
        </w:rPr>
        <w:t xml:space="preserve"> </w:t>
      </w:r>
      <w:r>
        <w:fldChar w:fldCharType="begin"/>
      </w:r>
      <w:r w:rsidR="00A5589C">
        <w:rPr>
          <w:lang w:val="en-US"/>
        </w:rPr>
        <w:instrText xml:space="preserve"> ADDIN ZOTERO_ITEM CSL_CITATION {"citationID":"MXxjvlrD","properties":{"formattedCitation":"MacNeill, {\\i{}The Church and the Homosexual}.","plainCitation":"MacNeill, The Church and the Homosexual.","noteIndex":14},"citationItems":[{"id":94,"uris":["http://zotero.org/users/8604945/items/LWMPLLTT"],"uri":["http://zotero.org/users/8604945/items/LWMPLLTT"],"itemData":{"id":94,"type":"book","event-place":"Boston","ISBN":"978-0-8070-7931-7","language":"English","note":"OCLC: 246660983","publisher":"Beacon Press","publisher-place":"Boston","source":"Open WorldCat","title":"The church and the homosexual","author":[{"family":"MacNeill","given":"John J"}],"issued":{"date-parts":[["1993"]]}}}],"schema":"https://github.com/citation-style-language/schema/raw/master/csl-citation.json"} </w:instrText>
      </w:r>
      <w:r>
        <w:fldChar w:fldCharType="separate"/>
      </w:r>
      <w:r w:rsidRPr="002467DD">
        <w:rPr>
          <w:rFonts w:ascii="Calibri" w:cs="Calibri"/>
          <w:lang w:val="en-US"/>
        </w:rPr>
        <w:t xml:space="preserve">MacNeill, </w:t>
      </w:r>
      <w:r w:rsidRPr="002467DD">
        <w:rPr>
          <w:rFonts w:ascii="Calibri" w:cs="Calibri"/>
          <w:i/>
          <w:iCs/>
          <w:lang w:val="en-US"/>
        </w:rPr>
        <w:t>The Church and the Homosexual</w:t>
      </w:r>
      <w:r w:rsidRPr="002467DD">
        <w:rPr>
          <w:rFonts w:ascii="Calibri" w:cs="Calibri"/>
          <w:lang w:val="en-US"/>
        </w:rPr>
        <w:t>.</w:t>
      </w:r>
      <w:r>
        <w:fldChar w:fldCharType="end"/>
      </w:r>
      <w:r w:rsidRPr="00912520">
        <w:rPr>
          <w:lang w:val="en-US"/>
        </w:rPr>
        <w:t xml:space="preserve"> Part I, The Interpretation of Romans 1:26. “(</w:t>
      </w:r>
      <w:proofErr w:type="gramStart"/>
      <w:r w:rsidRPr="00912520">
        <w:rPr>
          <w:lang w:val="en-US"/>
        </w:rPr>
        <w:t>…)</w:t>
      </w:r>
      <w:r w:rsidRPr="00912520">
        <w:rPr>
          <w:i/>
          <w:lang w:val="en-US"/>
        </w:rPr>
        <w:t>Paul</w:t>
      </w:r>
      <w:proofErr w:type="gramEnd"/>
      <w:r w:rsidRPr="00912520">
        <w:rPr>
          <w:i/>
          <w:lang w:val="en-US"/>
        </w:rPr>
        <w:t xml:space="preserve"> seems to be implying that the Gentiles, having known the truth of God and rejecting it, as a result reject their true nature as regards their sexual appetites, going beyond what was natural to them (heterosexual activity) and what was approved for the Jews</w:t>
      </w:r>
      <w:r w:rsidRPr="00912520">
        <w:rPr>
          <w:lang w:val="en-US"/>
        </w:rPr>
        <w:t>.”</w:t>
      </w:r>
    </w:p>
  </w:footnote>
  <w:footnote w:id="15">
    <w:p w:rsidR="00BE5A29" w:rsidRPr="00BE5A29" w:rsidRDefault="00BE5A29" w:rsidP="00BE5A29">
      <w:pPr>
        <w:pStyle w:val="Textonotapie"/>
        <w:rPr>
          <w:lang w:val="es-ES"/>
        </w:rPr>
      </w:pPr>
      <w:r>
        <w:rPr>
          <w:rStyle w:val="Refdenotaalpie"/>
        </w:rPr>
        <w:footnoteRef/>
      </w:r>
      <w:r w:rsidRPr="00E9091A">
        <w:rPr>
          <w:lang w:val="en-US"/>
        </w:rPr>
        <w:t xml:space="preserve"> </w:t>
      </w:r>
      <w:r>
        <w:fldChar w:fldCharType="begin"/>
      </w:r>
      <w:r w:rsidR="00A5589C">
        <w:rPr>
          <w:lang w:val="en-US"/>
        </w:rPr>
        <w:instrText xml:space="preserve"> ADDIN ZOTERO_ITEM CSL_CITATION {"citationID":"Str7yWf0","properties":{"formattedCitation":"MacNeill.","plainCitation":"MacNeill.","noteIndex":15},"citationItems":[{"id":94,"uris":["http://zotero.org/users/8604945/items/LWMPLLTT"],"uri":["http://zotero.org/users/8604945/items/LWMPLLTT"],"itemData":{"id":94,"type":"book","event-place":"Boston","ISBN":"978-0-8070-7931-7","language":"English","note":"OCLC: 246660983","publisher":"Beacon Press","publisher-place":"Boston","source":"Open WorldCat","title":"The church and the homosexual","author":[{"family":"MacNeill","given":"John J"}],"issued":{"date-parts":[["1993"]]}}}],"schema":"https://github.com/citation-style-language/schema/raw/master/csl-citation.json"} </w:instrText>
      </w:r>
      <w:r>
        <w:fldChar w:fldCharType="separate"/>
      </w:r>
      <w:r>
        <w:rPr>
          <w:rFonts w:ascii="Calibri" w:cs="Calibri"/>
          <w:lang w:val="en-US"/>
        </w:rPr>
        <w:t>MacNeill.</w:t>
      </w:r>
      <w:r>
        <w:fldChar w:fldCharType="end"/>
      </w:r>
      <w:r w:rsidRPr="004B736A">
        <w:rPr>
          <w:lang w:val="en-US"/>
        </w:rPr>
        <w:t xml:space="preserve"> </w:t>
      </w:r>
      <w:proofErr w:type="spellStart"/>
      <w:r w:rsidRPr="00BE5A29">
        <w:rPr>
          <w:lang w:val="es-ES"/>
        </w:rPr>
        <w:t>Part</w:t>
      </w:r>
      <w:proofErr w:type="spellEnd"/>
      <w:r w:rsidRPr="00BE5A29">
        <w:rPr>
          <w:lang w:val="es-ES"/>
        </w:rPr>
        <w:t xml:space="preserve"> I, </w:t>
      </w:r>
      <w:proofErr w:type="spellStart"/>
      <w:r w:rsidRPr="00BE5A29">
        <w:rPr>
          <w:lang w:val="es-ES"/>
        </w:rPr>
        <w:t>The</w:t>
      </w:r>
      <w:proofErr w:type="spellEnd"/>
      <w:r w:rsidRPr="00BE5A29">
        <w:rPr>
          <w:lang w:val="es-ES"/>
        </w:rPr>
        <w:t xml:space="preserve"> </w:t>
      </w:r>
      <w:proofErr w:type="spellStart"/>
      <w:r w:rsidRPr="00BE5A29">
        <w:rPr>
          <w:lang w:val="es-ES"/>
        </w:rPr>
        <w:t>Interpretation</w:t>
      </w:r>
      <w:proofErr w:type="spellEnd"/>
      <w:r w:rsidRPr="00BE5A29">
        <w:rPr>
          <w:lang w:val="es-ES"/>
        </w:rPr>
        <w:t xml:space="preserve"> of </w:t>
      </w:r>
      <w:proofErr w:type="spellStart"/>
      <w:r w:rsidRPr="00BE5A29">
        <w:rPr>
          <w:lang w:val="es-ES"/>
        </w:rPr>
        <w:t>Romans</w:t>
      </w:r>
      <w:proofErr w:type="spellEnd"/>
      <w:r w:rsidRPr="00BE5A29">
        <w:rPr>
          <w:lang w:val="es-ES"/>
        </w:rPr>
        <w:t xml:space="preserve"> 1:26.</w:t>
      </w:r>
      <w:r w:rsidRPr="00BE5A29">
        <w:rPr>
          <w:lang w:val="es-ES"/>
        </w:rPr>
        <w:t xml:space="preserve"> </w:t>
      </w:r>
      <w:proofErr w:type="spellStart"/>
      <w:r>
        <w:rPr>
          <w:rFonts w:eastAsia="Times New Roman"/>
          <w:lang w:val="es-ES" w:eastAsia="es-ES_tradnl"/>
        </w:rPr>
        <w:t>M</w:t>
      </w:r>
      <w:r>
        <w:rPr>
          <w:rFonts w:eastAsia="Times New Roman"/>
          <w:lang w:val="es-ES" w:eastAsia="es-ES_tradnl"/>
        </w:rPr>
        <w:t>a</w:t>
      </w:r>
      <w:r>
        <w:rPr>
          <w:rFonts w:eastAsia="Times New Roman"/>
          <w:lang w:val="es-ES" w:eastAsia="es-ES_tradnl"/>
        </w:rPr>
        <w:t>cNeill</w:t>
      </w:r>
      <w:proofErr w:type="spellEnd"/>
      <w:r>
        <w:rPr>
          <w:rFonts w:eastAsia="Times New Roman"/>
          <w:lang w:val="es-ES" w:eastAsia="es-ES_tradnl"/>
        </w:rPr>
        <w:t xml:space="preserve"> considera </w:t>
      </w:r>
      <w:r>
        <w:rPr>
          <w:rFonts w:eastAsia="Times New Roman"/>
          <w:i/>
          <w:lang w:val="es-ES" w:eastAsia="es-ES_tradnl"/>
        </w:rPr>
        <w:t xml:space="preserve">homosexuales verdaderos </w:t>
      </w:r>
      <w:r>
        <w:rPr>
          <w:rFonts w:eastAsia="Times New Roman"/>
          <w:lang w:val="es-ES" w:eastAsia="es-ES_tradnl"/>
        </w:rPr>
        <w:t xml:space="preserve">a los </w:t>
      </w:r>
      <w:r>
        <w:rPr>
          <w:rFonts w:eastAsia="Times New Roman"/>
          <w:lang w:val="es-ES" w:eastAsia="es-ES_tradnl"/>
        </w:rPr>
        <w:t>que su atracción hacia personas del mismo sexo es profunda e innata</w:t>
      </w:r>
      <w:r>
        <w:rPr>
          <w:rFonts w:eastAsia="Times New Roman"/>
          <w:lang w:val="es-ES" w:eastAsia="es-ES_tradnl"/>
        </w:rPr>
        <w:t>.</w:t>
      </w:r>
    </w:p>
  </w:footnote>
  <w:footnote w:id="16">
    <w:p w:rsidR="00A5589C" w:rsidRPr="00A5589C" w:rsidRDefault="00A5589C">
      <w:pPr>
        <w:pStyle w:val="Textonotapie"/>
        <w:rPr>
          <w:lang w:val="es-ES"/>
        </w:rPr>
      </w:pPr>
      <w:r>
        <w:rPr>
          <w:rStyle w:val="Refdenotaalpie"/>
        </w:rPr>
        <w:footnoteRef/>
      </w:r>
      <w:r>
        <w:t xml:space="preserve"> </w:t>
      </w:r>
      <w:r>
        <w:fldChar w:fldCharType="begin"/>
      </w:r>
      <w:r>
        <w:instrText xml:space="preserve"> ADDIN ZOTERO_ITEM CSL_CITATION {"citationID":"Ac3uv46G","properties":{"formattedCitation":"Congraci\\uc0\\u243{}n de la Doctrina de la fe, \\uc0\\u171{}Declaraci\\uc0\\u243{}n acerca de ciertas cuestiones de \\uc0\\u233{}tica sexual\\uc0\\u187{},.","plainCitation":"Congración de la Doctrina de la fe, «Declaración acerca de ciertas cuestiones de ética sexual»,.","noteIndex":16},"citationItems":[{"id":80,"uris":["http://zotero.org/users/8604945/items/88R6BXW8"],"uri":["http://zotero.org/users/8604945/items/88R6BXW8"],"itemData":{"id":80,"type":"webpage","title":"Declaración acerca de ciertas cuestiones de ética sexual,","URL":"https://www.vatican.va/roman_curia/congregations/cfaith/documents/rc_con_cfaith_doc_19751229_persona-humana_sp.html","author":[{"family":"Congración de la Doctrina de la fe","given":""}],"accessed":{"date-parts":[["2021",11,3]]},"issued":{"date-parts":[["1975",12,29]]}}}],"schema":"https://github.com/citation-style-language/schema/raw/master/csl-citation.json"} </w:instrText>
      </w:r>
      <w:r>
        <w:fldChar w:fldCharType="separate"/>
      </w:r>
      <w:r w:rsidRPr="00A5589C">
        <w:rPr>
          <w:rFonts w:ascii="Calibri" w:cs="Calibri"/>
        </w:rPr>
        <w:t>Congración de la Doctrina de la fe, «Declaración acerca de ciertas cuestiones de ética sexual</w:t>
      </w:r>
      <w:proofErr w:type="gramStart"/>
      <w:r w:rsidRPr="00A5589C">
        <w:rPr>
          <w:rFonts w:ascii="Calibri" w:cs="Calibri"/>
        </w:rPr>
        <w:t>»,.</w:t>
      </w:r>
      <w:proofErr w:type="gramEnd"/>
      <w:r>
        <w:fldChar w:fldCharType="end"/>
      </w:r>
    </w:p>
  </w:footnote>
  <w:footnote w:id="17">
    <w:p w:rsidR="0025241F" w:rsidRPr="00470858" w:rsidRDefault="0025241F" w:rsidP="0025241F">
      <w:pPr>
        <w:pStyle w:val="Textonotapie"/>
        <w:rPr>
          <w:lang w:val="es-ES"/>
        </w:rPr>
      </w:pPr>
      <w:r>
        <w:rPr>
          <w:rStyle w:val="Refdenotaalpie"/>
        </w:rPr>
        <w:footnoteRef/>
      </w:r>
      <w:r>
        <w:t xml:space="preserve"> </w:t>
      </w:r>
      <w:r>
        <w:fldChar w:fldCharType="begin"/>
      </w:r>
      <w:r>
        <w:instrText xml:space="preserve"> ADDIN ZOTERO_ITEM CSL_CITATION {"citationID":"Qk6a28Od","properties":{"formattedCitation":"Congraci\\uc0\\u243{}n de la Doctrina de la fe, \\uc0\\u171{}Carta a los obispos de la Iglesia cat\\uc0\\u243{}lica sobre la atenci\\uc0\\u243{}n pastoral a las personas homosexuales\\uc0\\u187{}.","plainCitation":"Congración de la Doctrina de la fe, «Carta a los obispos de la Iglesia católica sobre la atención pastoral a las personas homosexuales».","noteIndex":15},"citationItems":[{"id":99,"uris":["http://zotero.org/users/8604945/items/3LLKBLWQ"],"uri":["http://zotero.org/users/8604945/items/3LLKBLWQ"],"itemData":{"id":99,"type":"article","title":"Carta a los obispos de la Iglesia católica sobre la atención pastoral a las personas homosexuales","URL":"https://www.vatican.va/roman_curia/congregations/cfaith/documents/rc_con_cfaith_doc_19861001_homosexual-persons_sp.html","author":[{"family":"Congración de la Doctrina de la fe","given":""}],"accessed":{"date-parts":[["2021",11,15]]},"issued":{"date-parts":[["1986",10,1]]}}}],"schema":"https://github.com/citation-style-language/schema/raw/master/csl-citation.json"} </w:instrText>
      </w:r>
      <w:r>
        <w:fldChar w:fldCharType="separate"/>
      </w:r>
      <w:r w:rsidRPr="000856D7">
        <w:rPr>
          <w:rFonts w:ascii="Calibri" w:cs="Calibri"/>
        </w:rPr>
        <w:t>Congr</w:t>
      </w:r>
      <w:r>
        <w:rPr>
          <w:rFonts w:ascii="Calibri" w:cs="Calibri"/>
        </w:rPr>
        <w:t>eg</w:t>
      </w:r>
      <w:r w:rsidRPr="000856D7">
        <w:rPr>
          <w:rFonts w:ascii="Calibri" w:cs="Calibri"/>
        </w:rPr>
        <w:t>ación de la Doctrina de la fe, «Carta a los obispos de la Iglesia católica sobre la atención pastoral a las personas homosexuales».</w:t>
      </w:r>
      <w:r>
        <w:fldChar w:fldCharType="end"/>
      </w:r>
      <w:r>
        <w:t xml:space="preserve"> n.7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1A41"/>
    <w:multiLevelType w:val="hybridMultilevel"/>
    <w:tmpl w:val="56E6290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A9A5DC2"/>
    <w:multiLevelType w:val="hybridMultilevel"/>
    <w:tmpl w:val="E812A2A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5DA5ED5"/>
    <w:multiLevelType w:val="hybridMultilevel"/>
    <w:tmpl w:val="E812A2A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72074A2"/>
    <w:multiLevelType w:val="hybridMultilevel"/>
    <w:tmpl w:val="611E26D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1AA6305"/>
    <w:multiLevelType w:val="hybridMultilevel"/>
    <w:tmpl w:val="E09A2EB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9DA6B1B"/>
    <w:multiLevelType w:val="hybridMultilevel"/>
    <w:tmpl w:val="E812A2A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DA214CD"/>
    <w:multiLevelType w:val="hybridMultilevel"/>
    <w:tmpl w:val="5CAEF91A"/>
    <w:lvl w:ilvl="0" w:tplc="040A0017">
      <w:start w:val="1"/>
      <w:numFmt w:val="lowerLetter"/>
      <w:lvlText w:val="%1)"/>
      <w:lvlJc w:val="left"/>
      <w:pPr>
        <w:ind w:left="1077" w:hanging="360"/>
      </w:pPr>
    </w:lvl>
    <w:lvl w:ilvl="1" w:tplc="040A0019" w:tentative="1">
      <w:start w:val="1"/>
      <w:numFmt w:val="lowerLetter"/>
      <w:lvlText w:val="%2."/>
      <w:lvlJc w:val="left"/>
      <w:pPr>
        <w:ind w:left="1797" w:hanging="360"/>
      </w:pPr>
    </w:lvl>
    <w:lvl w:ilvl="2" w:tplc="040A001B" w:tentative="1">
      <w:start w:val="1"/>
      <w:numFmt w:val="lowerRoman"/>
      <w:lvlText w:val="%3."/>
      <w:lvlJc w:val="right"/>
      <w:pPr>
        <w:ind w:left="2517" w:hanging="180"/>
      </w:pPr>
    </w:lvl>
    <w:lvl w:ilvl="3" w:tplc="040A000F" w:tentative="1">
      <w:start w:val="1"/>
      <w:numFmt w:val="decimal"/>
      <w:lvlText w:val="%4."/>
      <w:lvlJc w:val="left"/>
      <w:pPr>
        <w:ind w:left="3237" w:hanging="360"/>
      </w:pPr>
    </w:lvl>
    <w:lvl w:ilvl="4" w:tplc="040A0019" w:tentative="1">
      <w:start w:val="1"/>
      <w:numFmt w:val="lowerLetter"/>
      <w:lvlText w:val="%5."/>
      <w:lvlJc w:val="left"/>
      <w:pPr>
        <w:ind w:left="3957" w:hanging="360"/>
      </w:pPr>
    </w:lvl>
    <w:lvl w:ilvl="5" w:tplc="040A001B" w:tentative="1">
      <w:start w:val="1"/>
      <w:numFmt w:val="lowerRoman"/>
      <w:lvlText w:val="%6."/>
      <w:lvlJc w:val="right"/>
      <w:pPr>
        <w:ind w:left="4677" w:hanging="180"/>
      </w:pPr>
    </w:lvl>
    <w:lvl w:ilvl="6" w:tplc="040A000F" w:tentative="1">
      <w:start w:val="1"/>
      <w:numFmt w:val="decimal"/>
      <w:lvlText w:val="%7."/>
      <w:lvlJc w:val="left"/>
      <w:pPr>
        <w:ind w:left="5397" w:hanging="360"/>
      </w:pPr>
    </w:lvl>
    <w:lvl w:ilvl="7" w:tplc="040A0019" w:tentative="1">
      <w:start w:val="1"/>
      <w:numFmt w:val="lowerLetter"/>
      <w:lvlText w:val="%8."/>
      <w:lvlJc w:val="left"/>
      <w:pPr>
        <w:ind w:left="6117" w:hanging="360"/>
      </w:pPr>
    </w:lvl>
    <w:lvl w:ilvl="8" w:tplc="040A001B" w:tentative="1">
      <w:start w:val="1"/>
      <w:numFmt w:val="lowerRoman"/>
      <w:lvlText w:val="%9."/>
      <w:lvlJc w:val="right"/>
      <w:pPr>
        <w:ind w:left="6837" w:hanging="18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BA"/>
    <w:rsid w:val="000316AB"/>
    <w:rsid w:val="000772EF"/>
    <w:rsid w:val="000856D7"/>
    <w:rsid w:val="00090C06"/>
    <w:rsid w:val="00116462"/>
    <w:rsid w:val="0012067E"/>
    <w:rsid w:val="00140090"/>
    <w:rsid w:val="00153EDC"/>
    <w:rsid w:val="001E0693"/>
    <w:rsid w:val="00235B6E"/>
    <w:rsid w:val="002467DD"/>
    <w:rsid w:val="0025241F"/>
    <w:rsid w:val="002952ED"/>
    <w:rsid w:val="002D3F46"/>
    <w:rsid w:val="002E2A84"/>
    <w:rsid w:val="002F48E7"/>
    <w:rsid w:val="00314376"/>
    <w:rsid w:val="003E49A1"/>
    <w:rsid w:val="00436B77"/>
    <w:rsid w:val="00437859"/>
    <w:rsid w:val="00454E79"/>
    <w:rsid w:val="00470858"/>
    <w:rsid w:val="00473283"/>
    <w:rsid w:val="00476A8D"/>
    <w:rsid w:val="00476E36"/>
    <w:rsid w:val="004B6B57"/>
    <w:rsid w:val="004B736A"/>
    <w:rsid w:val="004E59CA"/>
    <w:rsid w:val="005248DC"/>
    <w:rsid w:val="0058307C"/>
    <w:rsid w:val="005C2708"/>
    <w:rsid w:val="005D1E3B"/>
    <w:rsid w:val="005D6BDB"/>
    <w:rsid w:val="00611B0A"/>
    <w:rsid w:val="00623F70"/>
    <w:rsid w:val="006764BC"/>
    <w:rsid w:val="00680E93"/>
    <w:rsid w:val="006861D1"/>
    <w:rsid w:val="00693EDA"/>
    <w:rsid w:val="006A1B2E"/>
    <w:rsid w:val="006C0E0D"/>
    <w:rsid w:val="006F5BE8"/>
    <w:rsid w:val="00714055"/>
    <w:rsid w:val="007344F2"/>
    <w:rsid w:val="007369D5"/>
    <w:rsid w:val="007521BC"/>
    <w:rsid w:val="00761EBA"/>
    <w:rsid w:val="007940EE"/>
    <w:rsid w:val="007B13D5"/>
    <w:rsid w:val="007B2514"/>
    <w:rsid w:val="007C1C0C"/>
    <w:rsid w:val="007E20B1"/>
    <w:rsid w:val="00831E06"/>
    <w:rsid w:val="00840414"/>
    <w:rsid w:val="008862DD"/>
    <w:rsid w:val="00891FFF"/>
    <w:rsid w:val="00893FA1"/>
    <w:rsid w:val="008C221E"/>
    <w:rsid w:val="00912520"/>
    <w:rsid w:val="00973CAF"/>
    <w:rsid w:val="009839D4"/>
    <w:rsid w:val="009A3652"/>
    <w:rsid w:val="009A568A"/>
    <w:rsid w:val="009C4A41"/>
    <w:rsid w:val="009C6BAD"/>
    <w:rsid w:val="009D4A9E"/>
    <w:rsid w:val="009D5DE6"/>
    <w:rsid w:val="009F795B"/>
    <w:rsid w:val="00A15C9C"/>
    <w:rsid w:val="00A5589C"/>
    <w:rsid w:val="00AC3EBF"/>
    <w:rsid w:val="00AE730C"/>
    <w:rsid w:val="00B47819"/>
    <w:rsid w:val="00B612F3"/>
    <w:rsid w:val="00B752FF"/>
    <w:rsid w:val="00B973D0"/>
    <w:rsid w:val="00BD11C3"/>
    <w:rsid w:val="00BE5A29"/>
    <w:rsid w:val="00C10B39"/>
    <w:rsid w:val="00C43FDC"/>
    <w:rsid w:val="00C649A5"/>
    <w:rsid w:val="00D40043"/>
    <w:rsid w:val="00D54196"/>
    <w:rsid w:val="00DC1D60"/>
    <w:rsid w:val="00E00B38"/>
    <w:rsid w:val="00E027F9"/>
    <w:rsid w:val="00E44B85"/>
    <w:rsid w:val="00E63B43"/>
    <w:rsid w:val="00E661C7"/>
    <w:rsid w:val="00E9091A"/>
    <w:rsid w:val="00EE365F"/>
    <w:rsid w:val="00EE72FE"/>
    <w:rsid w:val="00F762FC"/>
    <w:rsid w:val="00FB4C68"/>
    <w:rsid w:val="00FE1267"/>
    <w:rsid w:val="00FF669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E92"/>
  <w14:defaultImageDpi w14:val="32767"/>
  <w15:chartTrackingRefBased/>
  <w15:docId w15:val="{68F49821-68DC-9341-987E-D1C2A75D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TXT"/>
    <w:qFormat/>
    <w:rsid w:val="00840414"/>
    <w:pPr>
      <w:ind w:firstLine="357"/>
      <w:jc w:val="both"/>
    </w:pPr>
    <w:rPr>
      <w:rFonts w:eastAsiaTheme="minorEastAsia"/>
      <w:sz w:val="22"/>
      <w:szCs w:val="22"/>
    </w:rPr>
  </w:style>
  <w:style w:type="paragraph" w:styleId="Ttulo1">
    <w:name w:val="heading 1"/>
    <w:basedOn w:val="Normal"/>
    <w:next w:val="Normal"/>
    <w:link w:val="Ttulo1Car"/>
    <w:uiPriority w:val="9"/>
    <w:qFormat/>
    <w:rsid w:val="00E44B85"/>
    <w:pPr>
      <w:keepNext/>
      <w:keepLines/>
      <w:spacing w:before="240"/>
      <w:outlineLvl w:val="0"/>
    </w:pPr>
    <w:rPr>
      <w:rFonts w:asciiTheme="majorHAnsi" w:eastAsiaTheme="majorEastAsia" w:hAnsiTheme="majorHAnsi" w:cs="Times New Roman (Títulos en alf"/>
      <w:smallCaps/>
      <w:color w:val="2F5496" w:themeColor="accent1" w:themeShade="BF"/>
      <w:sz w:val="32"/>
      <w:szCs w:val="32"/>
    </w:rPr>
  </w:style>
  <w:style w:type="paragraph" w:styleId="Ttulo2">
    <w:name w:val="heading 2"/>
    <w:basedOn w:val="Normal"/>
    <w:next w:val="Normal"/>
    <w:link w:val="Ttulo2Car"/>
    <w:uiPriority w:val="9"/>
    <w:semiHidden/>
    <w:unhideWhenUsed/>
    <w:qFormat/>
    <w:rsid w:val="00E44B85"/>
    <w:pPr>
      <w:keepNext/>
      <w:keepLines/>
      <w:spacing w:before="40"/>
      <w:outlineLvl w:val="1"/>
    </w:pPr>
    <w:rPr>
      <w:rFonts w:asciiTheme="majorHAnsi" w:eastAsiaTheme="majorEastAsia" w:hAnsiTheme="majorHAnsi" w:cs="Times New Roman (Títulos en alf"/>
      <w:smallCaps/>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4B85"/>
    <w:rPr>
      <w:rFonts w:asciiTheme="majorHAnsi" w:eastAsiaTheme="majorEastAsia" w:hAnsiTheme="majorHAnsi" w:cs="Times New Roman (Títulos en alf"/>
      <w:smallCaps/>
      <w:color w:val="2F5496" w:themeColor="accent1" w:themeShade="BF"/>
      <w:sz w:val="32"/>
      <w:szCs w:val="32"/>
    </w:rPr>
  </w:style>
  <w:style w:type="character" w:customStyle="1" w:styleId="Ttulo2Car">
    <w:name w:val="Título 2 Car"/>
    <w:basedOn w:val="Fuentedeprrafopredeter"/>
    <w:link w:val="Ttulo2"/>
    <w:uiPriority w:val="9"/>
    <w:semiHidden/>
    <w:rsid w:val="00E44B85"/>
    <w:rPr>
      <w:rFonts w:asciiTheme="majorHAnsi" w:eastAsiaTheme="majorEastAsia" w:hAnsiTheme="majorHAnsi" w:cs="Times New Roman (Títulos en alf"/>
      <w:smallCaps/>
      <w:color w:val="2F5496" w:themeColor="accent1" w:themeShade="BF"/>
      <w:sz w:val="26"/>
      <w:szCs w:val="26"/>
    </w:rPr>
  </w:style>
  <w:style w:type="paragraph" w:styleId="Ttulo">
    <w:name w:val="Title"/>
    <w:basedOn w:val="Normal"/>
    <w:next w:val="Normal"/>
    <w:link w:val="TtuloCar"/>
    <w:uiPriority w:val="10"/>
    <w:qFormat/>
    <w:rsid w:val="00140090"/>
    <w:pPr>
      <w:spacing w:before="720"/>
    </w:pPr>
    <w:rPr>
      <w:rFonts w:eastAsiaTheme="minorHAnsi"/>
      <w:caps/>
      <w:color w:val="4472C4" w:themeColor="accent1"/>
      <w:spacing w:val="10"/>
      <w:kern w:val="28"/>
      <w:sz w:val="32"/>
      <w:szCs w:val="52"/>
    </w:rPr>
  </w:style>
  <w:style w:type="character" w:customStyle="1" w:styleId="TtuloCar">
    <w:name w:val="Título Car"/>
    <w:basedOn w:val="Fuentedeprrafopredeter"/>
    <w:link w:val="Ttulo"/>
    <w:uiPriority w:val="10"/>
    <w:rsid w:val="00140090"/>
    <w:rPr>
      <w:caps/>
      <w:color w:val="4472C4" w:themeColor="accent1"/>
      <w:spacing w:val="10"/>
      <w:kern w:val="28"/>
      <w:sz w:val="32"/>
      <w:szCs w:val="52"/>
    </w:rPr>
  </w:style>
  <w:style w:type="paragraph" w:styleId="Prrafodelista">
    <w:name w:val="List Paragraph"/>
    <w:basedOn w:val="Normal"/>
    <w:uiPriority w:val="34"/>
    <w:qFormat/>
    <w:rsid w:val="00761EBA"/>
    <w:pPr>
      <w:ind w:left="720"/>
      <w:contextualSpacing/>
    </w:pPr>
  </w:style>
  <w:style w:type="paragraph" w:styleId="Textonotapie">
    <w:name w:val="footnote text"/>
    <w:basedOn w:val="Normal"/>
    <w:link w:val="TextonotapieCar"/>
    <w:uiPriority w:val="99"/>
    <w:semiHidden/>
    <w:unhideWhenUsed/>
    <w:rsid w:val="0058307C"/>
    <w:pPr>
      <w:spacing w:before="0" w:after="0"/>
    </w:pPr>
    <w:rPr>
      <w:sz w:val="20"/>
      <w:szCs w:val="20"/>
    </w:rPr>
  </w:style>
  <w:style w:type="character" w:customStyle="1" w:styleId="TextonotapieCar">
    <w:name w:val="Texto nota pie Car"/>
    <w:basedOn w:val="Fuentedeprrafopredeter"/>
    <w:link w:val="Textonotapie"/>
    <w:uiPriority w:val="99"/>
    <w:semiHidden/>
    <w:rsid w:val="0058307C"/>
    <w:rPr>
      <w:rFonts w:eastAsiaTheme="minorEastAsia"/>
      <w:sz w:val="20"/>
      <w:szCs w:val="20"/>
    </w:rPr>
  </w:style>
  <w:style w:type="character" w:styleId="Refdenotaalpie">
    <w:name w:val="footnote reference"/>
    <w:basedOn w:val="Fuentedeprrafopredeter"/>
    <w:uiPriority w:val="99"/>
    <w:semiHidden/>
    <w:unhideWhenUsed/>
    <w:rsid w:val="0058307C"/>
    <w:rPr>
      <w:vertAlign w:val="superscript"/>
    </w:rPr>
  </w:style>
  <w:style w:type="table" w:styleId="Tablaconcuadrcula">
    <w:name w:val="Table Grid"/>
    <w:basedOn w:val="Tablanormal"/>
    <w:uiPriority w:val="39"/>
    <w:rsid w:val="00840414"/>
    <w:pPr>
      <w:spacing w:before="0" w:after="0"/>
      <w:ind w:firstLine="360"/>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59CA"/>
    <w:pPr>
      <w:spacing w:before="100" w:beforeAutospacing="1" w:after="100" w:afterAutospacing="1"/>
      <w:ind w:firstLine="0"/>
      <w:jc w:val="left"/>
    </w:pPr>
    <w:rPr>
      <w:rFonts w:ascii="Times New Roman" w:eastAsia="Times New Roman" w:hAnsi="Times New Roman" w:cs="Times New Roman"/>
      <w:sz w:val="24"/>
      <w:szCs w:val="24"/>
      <w:lang w:val="es-ES" w:eastAsia="es-ES_tradnl"/>
    </w:rPr>
  </w:style>
  <w:style w:type="paragraph" w:customStyle="1" w:styleId="Bibliografa1">
    <w:name w:val="Bibliografía1"/>
    <w:basedOn w:val="Normal"/>
    <w:link w:val="BibliographyCar"/>
    <w:rsid w:val="00090C06"/>
    <w:pPr>
      <w:spacing w:after="0" w:line="480" w:lineRule="auto"/>
      <w:ind w:left="720" w:hanging="720"/>
    </w:pPr>
    <w:rPr>
      <w:rFonts w:eastAsia="Times New Roman"/>
      <w:lang w:val="es-ES" w:eastAsia="es-ES_tradnl"/>
    </w:rPr>
  </w:style>
  <w:style w:type="character" w:customStyle="1" w:styleId="BibliographyCar">
    <w:name w:val="Bibliography Car"/>
    <w:basedOn w:val="Fuentedeprrafopredeter"/>
    <w:link w:val="Bibliografa1"/>
    <w:rsid w:val="00090C06"/>
    <w:rPr>
      <w:rFonts w:eastAsia="Times New Roman"/>
      <w:sz w:val="22"/>
      <w:szCs w:val="22"/>
      <w:lang w:val="es-ES" w:eastAsia="es-ES_tradnl"/>
    </w:rPr>
  </w:style>
  <w:style w:type="character" w:styleId="Hipervnculo">
    <w:name w:val="Hyperlink"/>
    <w:basedOn w:val="Fuentedeprrafopredeter"/>
    <w:uiPriority w:val="99"/>
    <w:semiHidden/>
    <w:unhideWhenUsed/>
    <w:rsid w:val="007B2514"/>
    <w:rPr>
      <w:color w:val="0000FF"/>
      <w:u w:val="single"/>
    </w:rPr>
  </w:style>
  <w:style w:type="paragraph" w:customStyle="1" w:styleId="Bibliography">
    <w:name w:val="Bibliography"/>
    <w:basedOn w:val="Normal"/>
    <w:link w:val="BibliographyCar1"/>
    <w:rsid w:val="00E9091A"/>
    <w:pPr>
      <w:tabs>
        <w:tab w:val="left" w:pos="380"/>
      </w:tabs>
      <w:spacing w:after="0"/>
      <w:ind w:left="720" w:hanging="720"/>
    </w:pPr>
  </w:style>
  <w:style w:type="character" w:customStyle="1" w:styleId="BibliographyCar1">
    <w:name w:val="Bibliography Car1"/>
    <w:basedOn w:val="Fuentedeprrafopredeter"/>
    <w:link w:val="Bibliography"/>
    <w:rsid w:val="00E9091A"/>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1111">
      <w:bodyDiv w:val="1"/>
      <w:marLeft w:val="0"/>
      <w:marRight w:val="0"/>
      <w:marTop w:val="0"/>
      <w:marBottom w:val="0"/>
      <w:divBdr>
        <w:top w:val="none" w:sz="0" w:space="0" w:color="auto"/>
        <w:left w:val="none" w:sz="0" w:space="0" w:color="auto"/>
        <w:bottom w:val="none" w:sz="0" w:space="0" w:color="auto"/>
        <w:right w:val="none" w:sz="0" w:space="0" w:color="auto"/>
      </w:divBdr>
    </w:div>
    <w:div w:id="242421686">
      <w:bodyDiv w:val="1"/>
      <w:marLeft w:val="0"/>
      <w:marRight w:val="0"/>
      <w:marTop w:val="0"/>
      <w:marBottom w:val="0"/>
      <w:divBdr>
        <w:top w:val="none" w:sz="0" w:space="0" w:color="auto"/>
        <w:left w:val="none" w:sz="0" w:space="0" w:color="auto"/>
        <w:bottom w:val="none" w:sz="0" w:space="0" w:color="auto"/>
        <w:right w:val="none" w:sz="0" w:space="0" w:color="auto"/>
      </w:divBdr>
      <w:divsChild>
        <w:div w:id="2023583692">
          <w:marLeft w:val="480"/>
          <w:marRight w:val="0"/>
          <w:marTop w:val="0"/>
          <w:marBottom w:val="0"/>
          <w:divBdr>
            <w:top w:val="none" w:sz="0" w:space="0" w:color="auto"/>
            <w:left w:val="none" w:sz="0" w:space="0" w:color="auto"/>
            <w:bottom w:val="none" w:sz="0" w:space="0" w:color="auto"/>
            <w:right w:val="none" w:sz="0" w:space="0" w:color="auto"/>
          </w:divBdr>
          <w:divsChild>
            <w:div w:id="63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81379">
      <w:bodyDiv w:val="1"/>
      <w:marLeft w:val="0"/>
      <w:marRight w:val="0"/>
      <w:marTop w:val="0"/>
      <w:marBottom w:val="0"/>
      <w:divBdr>
        <w:top w:val="none" w:sz="0" w:space="0" w:color="auto"/>
        <w:left w:val="none" w:sz="0" w:space="0" w:color="auto"/>
        <w:bottom w:val="none" w:sz="0" w:space="0" w:color="auto"/>
        <w:right w:val="none" w:sz="0" w:space="0" w:color="auto"/>
      </w:divBdr>
      <w:divsChild>
        <w:div w:id="395663984">
          <w:marLeft w:val="480"/>
          <w:marRight w:val="0"/>
          <w:marTop w:val="0"/>
          <w:marBottom w:val="0"/>
          <w:divBdr>
            <w:top w:val="none" w:sz="0" w:space="0" w:color="auto"/>
            <w:left w:val="none" w:sz="0" w:space="0" w:color="auto"/>
            <w:bottom w:val="none" w:sz="0" w:space="0" w:color="auto"/>
            <w:right w:val="none" w:sz="0" w:space="0" w:color="auto"/>
          </w:divBdr>
          <w:divsChild>
            <w:div w:id="118312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5719">
      <w:bodyDiv w:val="1"/>
      <w:marLeft w:val="0"/>
      <w:marRight w:val="0"/>
      <w:marTop w:val="0"/>
      <w:marBottom w:val="0"/>
      <w:divBdr>
        <w:top w:val="none" w:sz="0" w:space="0" w:color="auto"/>
        <w:left w:val="none" w:sz="0" w:space="0" w:color="auto"/>
        <w:bottom w:val="none" w:sz="0" w:space="0" w:color="auto"/>
        <w:right w:val="none" w:sz="0" w:space="0" w:color="auto"/>
      </w:divBdr>
    </w:div>
    <w:div w:id="489977841">
      <w:bodyDiv w:val="1"/>
      <w:marLeft w:val="0"/>
      <w:marRight w:val="0"/>
      <w:marTop w:val="0"/>
      <w:marBottom w:val="0"/>
      <w:divBdr>
        <w:top w:val="none" w:sz="0" w:space="0" w:color="auto"/>
        <w:left w:val="none" w:sz="0" w:space="0" w:color="auto"/>
        <w:bottom w:val="none" w:sz="0" w:space="0" w:color="auto"/>
        <w:right w:val="none" w:sz="0" w:space="0" w:color="auto"/>
      </w:divBdr>
    </w:div>
    <w:div w:id="587421105">
      <w:bodyDiv w:val="1"/>
      <w:marLeft w:val="0"/>
      <w:marRight w:val="0"/>
      <w:marTop w:val="0"/>
      <w:marBottom w:val="0"/>
      <w:divBdr>
        <w:top w:val="none" w:sz="0" w:space="0" w:color="auto"/>
        <w:left w:val="none" w:sz="0" w:space="0" w:color="auto"/>
        <w:bottom w:val="none" w:sz="0" w:space="0" w:color="auto"/>
        <w:right w:val="none" w:sz="0" w:space="0" w:color="auto"/>
      </w:divBdr>
      <w:divsChild>
        <w:div w:id="1312055947">
          <w:marLeft w:val="480"/>
          <w:marRight w:val="0"/>
          <w:marTop w:val="0"/>
          <w:marBottom w:val="0"/>
          <w:divBdr>
            <w:top w:val="none" w:sz="0" w:space="0" w:color="auto"/>
            <w:left w:val="none" w:sz="0" w:space="0" w:color="auto"/>
            <w:bottom w:val="none" w:sz="0" w:space="0" w:color="auto"/>
            <w:right w:val="none" w:sz="0" w:space="0" w:color="auto"/>
          </w:divBdr>
          <w:divsChild>
            <w:div w:id="7112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5980">
      <w:bodyDiv w:val="1"/>
      <w:marLeft w:val="0"/>
      <w:marRight w:val="0"/>
      <w:marTop w:val="0"/>
      <w:marBottom w:val="0"/>
      <w:divBdr>
        <w:top w:val="none" w:sz="0" w:space="0" w:color="auto"/>
        <w:left w:val="none" w:sz="0" w:space="0" w:color="auto"/>
        <w:bottom w:val="none" w:sz="0" w:space="0" w:color="auto"/>
        <w:right w:val="none" w:sz="0" w:space="0" w:color="auto"/>
      </w:divBdr>
    </w:div>
    <w:div w:id="770003998">
      <w:bodyDiv w:val="1"/>
      <w:marLeft w:val="0"/>
      <w:marRight w:val="0"/>
      <w:marTop w:val="0"/>
      <w:marBottom w:val="0"/>
      <w:divBdr>
        <w:top w:val="none" w:sz="0" w:space="0" w:color="auto"/>
        <w:left w:val="none" w:sz="0" w:space="0" w:color="auto"/>
        <w:bottom w:val="none" w:sz="0" w:space="0" w:color="auto"/>
        <w:right w:val="none" w:sz="0" w:space="0" w:color="auto"/>
      </w:divBdr>
    </w:div>
    <w:div w:id="903754323">
      <w:bodyDiv w:val="1"/>
      <w:marLeft w:val="0"/>
      <w:marRight w:val="0"/>
      <w:marTop w:val="0"/>
      <w:marBottom w:val="0"/>
      <w:divBdr>
        <w:top w:val="none" w:sz="0" w:space="0" w:color="auto"/>
        <w:left w:val="none" w:sz="0" w:space="0" w:color="auto"/>
        <w:bottom w:val="none" w:sz="0" w:space="0" w:color="auto"/>
        <w:right w:val="none" w:sz="0" w:space="0" w:color="auto"/>
      </w:divBdr>
      <w:divsChild>
        <w:div w:id="1812673778">
          <w:marLeft w:val="480"/>
          <w:marRight w:val="0"/>
          <w:marTop w:val="0"/>
          <w:marBottom w:val="0"/>
          <w:divBdr>
            <w:top w:val="none" w:sz="0" w:space="0" w:color="auto"/>
            <w:left w:val="none" w:sz="0" w:space="0" w:color="auto"/>
            <w:bottom w:val="none" w:sz="0" w:space="0" w:color="auto"/>
            <w:right w:val="none" w:sz="0" w:space="0" w:color="auto"/>
          </w:divBdr>
          <w:divsChild>
            <w:div w:id="6307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0168">
      <w:bodyDiv w:val="1"/>
      <w:marLeft w:val="0"/>
      <w:marRight w:val="0"/>
      <w:marTop w:val="0"/>
      <w:marBottom w:val="0"/>
      <w:divBdr>
        <w:top w:val="none" w:sz="0" w:space="0" w:color="auto"/>
        <w:left w:val="none" w:sz="0" w:space="0" w:color="auto"/>
        <w:bottom w:val="none" w:sz="0" w:space="0" w:color="auto"/>
        <w:right w:val="none" w:sz="0" w:space="0" w:color="auto"/>
      </w:divBdr>
    </w:div>
    <w:div w:id="1350791965">
      <w:bodyDiv w:val="1"/>
      <w:marLeft w:val="0"/>
      <w:marRight w:val="0"/>
      <w:marTop w:val="0"/>
      <w:marBottom w:val="0"/>
      <w:divBdr>
        <w:top w:val="none" w:sz="0" w:space="0" w:color="auto"/>
        <w:left w:val="none" w:sz="0" w:space="0" w:color="auto"/>
        <w:bottom w:val="none" w:sz="0" w:space="0" w:color="auto"/>
        <w:right w:val="none" w:sz="0" w:space="0" w:color="auto"/>
      </w:divBdr>
    </w:div>
    <w:div w:id="1555001244">
      <w:bodyDiv w:val="1"/>
      <w:marLeft w:val="0"/>
      <w:marRight w:val="0"/>
      <w:marTop w:val="0"/>
      <w:marBottom w:val="0"/>
      <w:divBdr>
        <w:top w:val="none" w:sz="0" w:space="0" w:color="auto"/>
        <w:left w:val="none" w:sz="0" w:space="0" w:color="auto"/>
        <w:bottom w:val="none" w:sz="0" w:space="0" w:color="auto"/>
        <w:right w:val="none" w:sz="0" w:space="0" w:color="auto"/>
      </w:divBdr>
    </w:div>
    <w:div w:id="1737707098">
      <w:bodyDiv w:val="1"/>
      <w:marLeft w:val="0"/>
      <w:marRight w:val="0"/>
      <w:marTop w:val="0"/>
      <w:marBottom w:val="0"/>
      <w:divBdr>
        <w:top w:val="none" w:sz="0" w:space="0" w:color="auto"/>
        <w:left w:val="none" w:sz="0" w:space="0" w:color="auto"/>
        <w:bottom w:val="none" w:sz="0" w:space="0" w:color="auto"/>
        <w:right w:val="none" w:sz="0" w:space="0" w:color="auto"/>
      </w:divBdr>
    </w:div>
    <w:div w:id="1784493809">
      <w:bodyDiv w:val="1"/>
      <w:marLeft w:val="0"/>
      <w:marRight w:val="0"/>
      <w:marTop w:val="0"/>
      <w:marBottom w:val="0"/>
      <w:divBdr>
        <w:top w:val="none" w:sz="0" w:space="0" w:color="auto"/>
        <w:left w:val="none" w:sz="0" w:space="0" w:color="auto"/>
        <w:bottom w:val="none" w:sz="0" w:space="0" w:color="auto"/>
        <w:right w:val="none" w:sz="0" w:space="0" w:color="auto"/>
      </w:divBdr>
      <w:divsChild>
        <w:div w:id="439572178">
          <w:marLeft w:val="480"/>
          <w:marRight w:val="0"/>
          <w:marTop w:val="0"/>
          <w:marBottom w:val="0"/>
          <w:divBdr>
            <w:top w:val="none" w:sz="0" w:space="0" w:color="auto"/>
            <w:left w:val="none" w:sz="0" w:space="0" w:color="auto"/>
            <w:bottom w:val="none" w:sz="0" w:space="0" w:color="auto"/>
            <w:right w:val="none" w:sz="0" w:space="0" w:color="auto"/>
          </w:divBdr>
          <w:divsChild>
            <w:div w:id="376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1651">
      <w:bodyDiv w:val="1"/>
      <w:marLeft w:val="0"/>
      <w:marRight w:val="0"/>
      <w:marTop w:val="0"/>
      <w:marBottom w:val="0"/>
      <w:divBdr>
        <w:top w:val="none" w:sz="0" w:space="0" w:color="auto"/>
        <w:left w:val="none" w:sz="0" w:space="0" w:color="auto"/>
        <w:bottom w:val="none" w:sz="0" w:space="0" w:color="auto"/>
        <w:right w:val="none" w:sz="0" w:space="0" w:color="auto"/>
      </w:divBdr>
    </w:div>
    <w:div w:id="1890142027">
      <w:bodyDiv w:val="1"/>
      <w:marLeft w:val="0"/>
      <w:marRight w:val="0"/>
      <w:marTop w:val="0"/>
      <w:marBottom w:val="0"/>
      <w:divBdr>
        <w:top w:val="none" w:sz="0" w:space="0" w:color="auto"/>
        <w:left w:val="none" w:sz="0" w:space="0" w:color="auto"/>
        <w:bottom w:val="none" w:sz="0" w:space="0" w:color="auto"/>
        <w:right w:val="none" w:sz="0" w:space="0" w:color="auto"/>
      </w:divBdr>
      <w:divsChild>
        <w:div w:id="26760154">
          <w:marLeft w:val="480"/>
          <w:marRight w:val="0"/>
          <w:marTop w:val="0"/>
          <w:marBottom w:val="0"/>
          <w:divBdr>
            <w:top w:val="none" w:sz="0" w:space="0" w:color="auto"/>
            <w:left w:val="none" w:sz="0" w:space="0" w:color="auto"/>
            <w:bottom w:val="none" w:sz="0" w:space="0" w:color="auto"/>
            <w:right w:val="none" w:sz="0" w:space="0" w:color="auto"/>
          </w:divBdr>
          <w:divsChild>
            <w:div w:id="4454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roman_curia/congregations/cfaith/documents/rc_con_cfaith_doc_19920724_homosexual-persons_sp.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atican.va/roman_curia/congregations/cfaith/documents/rc_con_cfaith_doc_20210222_responsum-dubium-unioni_sp.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C2D676E-5C47-E14B-9037-DA8DDED3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4314</Words>
  <Characters>23729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de la Pisa</dc:creator>
  <cp:keywords/>
  <dc:description/>
  <cp:lastModifiedBy>José de la Pisa</cp:lastModifiedBy>
  <cp:revision>5</cp:revision>
  <cp:lastPrinted>2021-11-24T09:47:00Z</cp:lastPrinted>
  <dcterms:created xsi:type="dcterms:W3CDTF">2021-11-24T10:07:00Z</dcterms:created>
  <dcterms:modified xsi:type="dcterms:W3CDTF">2021-11-24T10:58:00Z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id="99hudfAJ"/&gt;&lt;style id="http://www.zotero.org/styles/chicago-note-bibliography" locale="es-ES" hasBibliography="1" bibliographyStyleHasBeenSet="1"/&gt;&lt;prefs&gt;&lt;pref name="fieldType" value="Field"/&gt;&lt;p</vt:lpwstr>
  </property>
  <property fmtid="{D5CDD505-2E9C-101B-9397-08002B2CF9AE}" pid="3" name="ZOTERO_PREF_2">
    <vt:lpwstr>ref name="automaticJournalAbbreviations" value="true"/&gt;&lt;pref name="noteType" value="1"/&gt;&lt;/prefs&gt;&lt;/data&gt;</vt:lpwstr>
  </property>
</Properties>
</file>