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08" w:rsidRDefault="00B57408" w:rsidP="00B57408">
      <w:pPr>
        <w:pStyle w:val="MDCCapitulo"/>
        <w:rPr>
          <w:lang w:val="it-IT"/>
        </w:rPr>
      </w:pPr>
      <w:r>
        <w:rPr>
          <w:lang w:val="it-IT"/>
        </w:rPr>
        <w:t>Capitolo XXXIII</w:t>
      </w:r>
    </w:p>
    <w:p w:rsidR="00B57408" w:rsidRDefault="00B57408" w:rsidP="00B57408">
      <w:pPr>
        <w:pStyle w:val="MDCTitulo"/>
        <w:spacing w:line="240" w:lineRule="auto"/>
        <w:rPr>
          <w:lang w:val="it-IT"/>
        </w:rPr>
      </w:pPr>
      <w:bookmarkStart w:id="0" w:name="_GoBack"/>
      <w:bookmarkEnd w:id="0"/>
      <w:r>
        <w:rPr>
          <w:lang w:val="it-IT"/>
        </w:rPr>
        <w:t>i beni TEMPORali DElLA chiesa</w:t>
      </w:r>
    </w:p>
    <w:p w:rsidR="00B57408" w:rsidRDefault="00B57408" w:rsidP="00B57408">
      <w:pPr>
        <w:pStyle w:val="MDCLadillo1"/>
        <w:ind w:left="0" w:firstLine="0"/>
        <w:rPr>
          <w:lang w:val="it-IT"/>
        </w:rPr>
      </w:pPr>
      <w:r>
        <w:rPr>
          <w:i w:val="0"/>
          <w:lang w:val="it-IT"/>
        </w:rPr>
        <w:t>1.</w:t>
      </w:r>
      <w:r>
        <w:rPr>
          <w:lang w:val="it-IT"/>
        </w:rPr>
        <w:t xml:space="preserve"> Principi fondamentali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>a)</w:t>
      </w:r>
      <w:r>
        <w:rPr>
          <w:lang w:val="it-IT"/>
        </w:rPr>
        <w:t xml:space="preserve"> I beni temporali al servizio della missione della Chiesa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"La Chiesa cattolica ha il diritto nativo, indipendentemente dal potere civile, di acquistare, possedere, amministrare ed alienare i beni temporali per conseguire i fini che le sono propri" (can. 1254 § 1). L’affermazione di tale principio deriva, in parte, dal pericolo di possibili </w:t>
      </w:r>
      <w:r>
        <w:rPr>
          <w:i/>
          <w:lang w:val="it-IT"/>
        </w:rPr>
        <w:t>spiritualismi</w:t>
      </w:r>
      <w:r>
        <w:rPr>
          <w:lang w:val="it-IT"/>
        </w:rPr>
        <w:t>, che potrebbero sottovalutare la dimensione umana e visibile della Chiesa (</w:t>
      </w:r>
      <w:r>
        <w:rPr>
          <w:i/>
          <w:lang w:val="it-IT"/>
        </w:rPr>
        <w:t>vedi</w:t>
      </w:r>
      <w:r>
        <w:rPr>
          <w:lang w:val="it-IT"/>
        </w:rPr>
        <w:t xml:space="preserve"> II, 4) e le necessità, anche economiche, che comporta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GS, 76); e, in parte, da visioni </w:t>
      </w:r>
      <w:r>
        <w:rPr>
          <w:i/>
          <w:lang w:val="it-IT"/>
        </w:rPr>
        <w:t>stataliste</w:t>
      </w:r>
      <w:r>
        <w:rPr>
          <w:lang w:val="it-IT"/>
        </w:rPr>
        <w:t xml:space="preserve"> che pretenderebbero limitare indebitamente la capacità patrimoniale della Chiesa, condizionando così il pieno esercizio della libertà religiosa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DH, 4 e 13; </w:t>
      </w:r>
      <w:r>
        <w:rPr>
          <w:i/>
          <w:lang w:val="it-IT"/>
        </w:rPr>
        <w:t>vedi</w:t>
      </w:r>
      <w:r>
        <w:rPr>
          <w:lang w:val="it-IT"/>
        </w:rPr>
        <w:t xml:space="preserve"> XXXVII, 3, b).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Non si tratta, tuttavia, di un principio assoluto: la capacità patrimoniale della Chiesa non si giustifica con finalità di influenza temporale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GS, 42), né è illimitata; essa è essenzialmente subordinata al compimento dei </w:t>
      </w:r>
      <w:r>
        <w:rPr>
          <w:i/>
          <w:lang w:val="it-IT"/>
        </w:rPr>
        <w:t>fini</w:t>
      </w:r>
      <w:r>
        <w:rPr>
          <w:lang w:val="it-IT"/>
        </w:rPr>
        <w:t xml:space="preserve"> propri, che "sono principalmente: ordinare il culto divino, provvedere ad un onesto sostentamento del clero e degli altri ministri, esercitare opere di apostolato sacro e di carità, specialmente a servizio dei poveri" (can. 1254 § 2; 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>. PO, 17).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>b)</w:t>
      </w:r>
      <w:r>
        <w:rPr>
          <w:lang w:val="it-IT"/>
        </w:rPr>
        <w:t xml:space="preserve"> Soggetti con capacità patrimoniale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Hanno capacità di acquistare, possedere, amministrare ed alienare i beni temporali nell’ordinamento canonico: </w:t>
      </w:r>
      <w:r>
        <w:rPr>
          <w:i/>
          <w:lang w:val="it-IT"/>
        </w:rPr>
        <w:t>a)</w:t>
      </w:r>
      <w:r>
        <w:rPr>
          <w:lang w:val="it-IT"/>
        </w:rPr>
        <w:t xml:space="preserve"> La </w:t>
      </w:r>
      <w:r>
        <w:rPr>
          <w:i/>
          <w:lang w:val="it-IT"/>
        </w:rPr>
        <w:t>Chiesa universale</w:t>
      </w:r>
      <w:r>
        <w:rPr>
          <w:lang w:val="it-IT"/>
        </w:rPr>
        <w:t xml:space="preserve"> e la </w:t>
      </w:r>
      <w:r>
        <w:rPr>
          <w:i/>
          <w:lang w:val="it-IT"/>
        </w:rPr>
        <w:t>Sede Apostolica</w:t>
      </w:r>
      <w:r>
        <w:rPr>
          <w:lang w:val="it-IT"/>
        </w:rPr>
        <w:t xml:space="preserve">; </w:t>
      </w:r>
      <w:r>
        <w:rPr>
          <w:i/>
          <w:lang w:val="it-IT"/>
        </w:rPr>
        <w:t>b)</w:t>
      </w:r>
      <w:r>
        <w:rPr>
          <w:lang w:val="it-IT"/>
        </w:rPr>
        <w:t xml:space="preserve"> Le altre </w:t>
      </w:r>
      <w:r>
        <w:rPr>
          <w:i/>
          <w:lang w:val="it-IT"/>
        </w:rPr>
        <w:t>persone giuridiche pubbliche</w:t>
      </w:r>
      <w:r>
        <w:rPr>
          <w:lang w:val="it-IT"/>
        </w:rPr>
        <w:t xml:space="preserve"> (circoscrizioni ecclesiastiche, parrocchie, seminari, istituti di vita consacrata e società di vita apostolica, associazioni pubbliche, ecc.); </w:t>
      </w:r>
      <w:r>
        <w:rPr>
          <w:i/>
          <w:lang w:val="it-IT"/>
        </w:rPr>
        <w:t>c)</w:t>
      </w:r>
      <w:r>
        <w:rPr>
          <w:lang w:val="it-IT"/>
        </w:rPr>
        <w:t xml:space="preserve"> Le </w:t>
      </w:r>
      <w:r>
        <w:rPr>
          <w:i/>
          <w:lang w:val="it-IT"/>
        </w:rPr>
        <w:t>persone giuridiche private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1255).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 xml:space="preserve">Evidentemente, anche le </w:t>
      </w:r>
      <w:r>
        <w:rPr>
          <w:i/>
          <w:lang w:val="it-IT"/>
        </w:rPr>
        <w:t>persone fisiche</w:t>
      </w:r>
      <w:r>
        <w:rPr>
          <w:lang w:val="it-IT"/>
        </w:rPr>
        <w:t xml:space="preserve"> godono di tale capacità, ma il Diritto canonico, salvo in alcune questioni (</w:t>
      </w:r>
      <w:proofErr w:type="spellStart"/>
      <w:proofErr w:type="gramStart"/>
      <w:r>
        <w:rPr>
          <w:lang w:val="it-IT"/>
        </w:rPr>
        <w:t>cf</w:t>
      </w:r>
      <w:proofErr w:type="spellEnd"/>
      <w:r>
        <w:rPr>
          <w:lang w:val="it-IT"/>
        </w:rPr>
        <w:t>.,</w:t>
      </w:r>
      <w:proofErr w:type="gramEnd"/>
      <w:r>
        <w:rPr>
          <w:lang w:val="it-IT"/>
        </w:rPr>
        <w:t xml:space="preserve"> per es., quelle del can. 1269 o del can. 1299, e la disciplina delle cause pie; </w:t>
      </w:r>
      <w:r>
        <w:rPr>
          <w:i/>
          <w:lang w:val="it-IT"/>
        </w:rPr>
        <w:t>vedi infra</w:t>
      </w:r>
      <w:r>
        <w:rPr>
          <w:lang w:val="it-IT"/>
        </w:rPr>
        <w:t xml:space="preserve">: 6), non regola direttamente la loro attività patrimoniale nel Libro V del CIC, che si limita a stabilire norme sui beni delle persone giuridiche e, soprattutto, sui </w:t>
      </w:r>
      <w:r>
        <w:rPr>
          <w:i/>
          <w:lang w:val="it-IT"/>
        </w:rPr>
        <w:t>beni ecclesiastici</w:t>
      </w:r>
      <w:r>
        <w:rPr>
          <w:lang w:val="it-IT"/>
        </w:rPr>
        <w:t xml:space="preserve"> (</w:t>
      </w:r>
      <w:r>
        <w:rPr>
          <w:i/>
          <w:lang w:val="it-IT"/>
        </w:rPr>
        <w:t>vedi infra</w:t>
      </w:r>
      <w:r>
        <w:rPr>
          <w:lang w:val="it-IT"/>
        </w:rPr>
        <w:t>: 1, c).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i/>
          <w:lang w:val="it-IT"/>
        </w:rPr>
        <w:t>dominium</w:t>
      </w:r>
      <w:proofErr w:type="spellEnd"/>
      <w:r>
        <w:rPr>
          <w:lang w:val="it-IT"/>
        </w:rPr>
        <w:t xml:space="preserve"> sui beni (la </w:t>
      </w:r>
      <w:r>
        <w:rPr>
          <w:i/>
          <w:lang w:val="it-IT"/>
        </w:rPr>
        <w:t>proprietà</w:t>
      </w:r>
      <w:r>
        <w:rPr>
          <w:lang w:val="it-IT"/>
        </w:rPr>
        <w:t xml:space="preserve">, con annessi tutti i diritti e l’effettivo </w:t>
      </w:r>
      <w:r>
        <w:rPr>
          <w:i/>
          <w:lang w:val="it-IT"/>
        </w:rPr>
        <w:t>possesso</w:t>
      </w:r>
      <w:r>
        <w:rPr>
          <w:lang w:val="it-IT"/>
        </w:rPr>
        <w:t>) spetta alla persona giuridica che li abbia acquistati legittimamente, e viene esercitato sempre sotto l’autorità suprema del Romano Pontefice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1256), in modo che, anche nell’attività patrimoniale, si mantenga l’unità della Chiesa, garantita dal Primato pontificio (</w:t>
      </w:r>
      <w:r>
        <w:rPr>
          <w:i/>
          <w:lang w:val="it-IT"/>
        </w:rPr>
        <w:t>vedi infra</w:t>
      </w:r>
      <w:r>
        <w:rPr>
          <w:lang w:val="it-IT"/>
        </w:rPr>
        <w:t>: 4, a).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>c)</w:t>
      </w:r>
      <w:r>
        <w:rPr>
          <w:lang w:val="it-IT"/>
        </w:rPr>
        <w:t xml:space="preserve"> I beni ecclesiastici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I beni che appartengono alle persone giuridiche pubbliche sono </w:t>
      </w:r>
      <w:r>
        <w:rPr>
          <w:i/>
          <w:lang w:val="it-IT"/>
        </w:rPr>
        <w:t xml:space="preserve">beni ecclesiastici </w:t>
      </w:r>
      <w:r>
        <w:rPr>
          <w:lang w:val="it-IT"/>
        </w:rPr>
        <w:t>e sono regolati dai canoni del Libro V del CIC — che, quando menzionano "la Chiesa", intendono riferirsi a tutte le persone giuridiche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1258) — e, a seconda dei casi, anche dagli statuti propri. Invece, i beni appartenenti alle persone giuridiche private non sono beni ecclesiastici, sono retti dai propri statuti e non dalle norme del CIC, a meno che non venga disposto espressamente altro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1257).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 xml:space="preserve">La </w:t>
      </w:r>
      <w:r>
        <w:rPr>
          <w:i/>
          <w:lang w:val="it-IT"/>
        </w:rPr>
        <w:t xml:space="preserve">qualifica giuridica </w:t>
      </w:r>
      <w:r>
        <w:rPr>
          <w:lang w:val="it-IT"/>
        </w:rPr>
        <w:t xml:space="preserve">di </w:t>
      </w:r>
      <w:r>
        <w:rPr>
          <w:i/>
          <w:lang w:val="it-IT"/>
        </w:rPr>
        <w:t>beni ecclesiastici</w:t>
      </w:r>
      <w:r>
        <w:rPr>
          <w:lang w:val="it-IT"/>
        </w:rPr>
        <w:t xml:space="preserve"> è stabilita esclusivamente per determinare il regime giuridico di tali beni. Ma i beni delle persone giuridiche private sono regolati dai loro statuti — approvati dall’autorità ecclesiastica (</w:t>
      </w:r>
      <w:r>
        <w:rPr>
          <w:i/>
          <w:lang w:val="it-IT"/>
        </w:rPr>
        <w:t>vedi</w:t>
      </w:r>
      <w:r>
        <w:rPr>
          <w:lang w:val="it-IT"/>
        </w:rPr>
        <w:t xml:space="preserve"> XI, 4) — nel contesto della loro cooperazione alla missione della Chiesa, </w:t>
      </w:r>
      <w:proofErr w:type="spellStart"/>
      <w:r>
        <w:rPr>
          <w:lang w:val="it-IT"/>
        </w:rPr>
        <w:t>cioé</w:t>
      </w:r>
      <w:proofErr w:type="spellEnd"/>
      <w:r>
        <w:rPr>
          <w:lang w:val="it-IT"/>
        </w:rPr>
        <w:t>, anche vincolati dall’ordinazione ai fini propri della Chiesa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1254).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Studieremo qui di seguito gli aspetti principali del regime giuridico dei beni ecclesiastici.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</w:p>
    <w:p w:rsidR="00B57408" w:rsidRDefault="00B57408" w:rsidP="00B57408">
      <w:pPr>
        <w:pStyle w:val="MDCLadillo1"/>
        <w:rPr>
          <w:lang w:val="it-IT"/>
        </w:rPr>
      </w:pPr>
      <w:r>
        <w:rPr>
          <w:i w:val="0"/>
          <w:lang w:val="it-IT"/>
        </w:rPr>
        <w:lastRenderedPageBreak/>
        <w:t>2.</w:t>
      </w:r>
      <w:r>
        <w:rPr>
          <w:lang w:val="it-IT"/>
        </w:rPr>
        <w:t xml:space="preserve"> L’acquisto dei beni da parte della Chiesa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Il CIC enuncia il principio generale secondo cui la Chiesa può acquistare beni in tutti i </w:t>
      </w:r>
      <w:r>
        <w:rPr>
          <w:i/>
          <w:lang w:val="it-IT"/>
        </w:rPr>
        <w:t>giusti modi</w:t>
      </w:r>
      <w:r>
        <w:rPr>
          <w:lang w:val="it-IT"/>
        </w:rPr>
        <w:t xml:space="preserve"> di Diritto sia naturale sia positivo, alla stessa maniera di chiunque altro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1259).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Stabilito tale principio, il Libro V non contiene norme specifiche per la maggior parte di tali modi di acquisto (contiene solo alcune norme sulla </w:t>
      </w:r>
      <w:r>
        <w:rPr>
          <w:i/>
          <w:lang w:val="it-IT"/>
        </w:rPr>
        <w:t xml:space="preserve">prescrizione </w:t>
      </w:r>
      <w:r>
        <w:rPr>
          <w:lang w:val="it-IT"/>
        </w:rPr>
        <w:t xml:space="preserve">nei can. 1268-1270; </w:t>
      </w:r>
      <w:r>
        <w:rPr>
          <w:i/>
          <w:lang w:val="it-IT"/>
        </w:rPr>
        <w:t>vedi</w:t>
      </w:r>
      <w:r>
        <w:rPr>
          <w:lang w:val="it-IT"/>
        </w:rPr>
        <w:t xml:space="preserve"> VII, 7), ma si concentra su un aspetto fondamentale, che diventa più evidente alla luce dell’ecclesiologia conciliare: la </w:t>
      </w:r>
      <w:r>
        <w:rPr>
          <w:i/>
          <w:lang w:val="it-IT"/>
        </w:rPr>
        <w:t>corresponsabilità</w:t>
      </w:r>
      <w:r>
        <w:rPr>
          <w:lang w:val="it-IT"/>
        </w:rPr>
        <w:t xml:space="preserve"> di tutti i fedeli, anche in materia patrimoniale.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>a)</w:t>
      </w:r>
      <w:r>
        <w:rPr>
          <w:lang w:val="it-IT"/>
        </w:rPr>
        <w:t xml:space="preserve"> Dovere e diritto dei fedeli a sostenere economicamente la missione della Chiesa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"La Chiesa ha il diritto nativo di richiedere ai fedeli quanto le è necessario per le finalità sue proprie" (can. 1260). Tale diritto nativo si basa sulla comune appartenenza di tutti i fedeli al Popolo di Dio, che li rende partecipi e responsabili della missione della Chiesa (</w:t>
      </w:r>
      <w:r>
        <w:rPr>
          <w:i/>
          <w:lang w:val="it-IT"/>
        </w:rPr>
        <w:t>vedi</w:t>
      </w:r>
      <w:r>
        <w:rPr>
          <w:lang w:val="it-IT"/>
        </w:rPr>
        <w:t xml:space="preserve"> IX, 1).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Tutti i fedeli hanno, pertanto, il dovere di sovvenire alle necessità della Chiesa, affinché possa disporre dei mezzi necessari per sostenere i propri fini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222; </w:t>
      </w:r>
      <w:r>
        <w:rPr>
          <w:i/>
          <w:lang w:val="it-IT"/>
        </w:rPr>
        <w:t>vedi</w:t>
      </w:r>
      <w:r>
        <w:rPr>
          <w:lang w:val="it-IT"/>
        </w:rPr>
        <w:t xml:space="preserve"> IX, 3, n); e godono — nella società e dinanzi lo Stato — della libertà di devolvere i beni temporali a favore della Chiesa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1261 § 1). Riflette tale corresponsabilità anche la norma che raccomanda agli amministratori dei beni ecclesiastici di </w:t>
      </w:r>
      <w:r>
        <w:rPr>
          <w:i/>
          <w:lang w:val="it-IT"/>
        </w:rPr>
        <w:t>rendere conto</w:t>
      </w:r>
      <w:r>
        <w:rPr>
          <w:lang w:val="it-IT"/>
        </w:rPr>
        <w:t xml:space="preserve"> ai fedeli dei beni che donano alla Chiesa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1287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2).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 xml:space="preserve">Lo </w:t>
      </w:r>
      <w:proofErr w:type="spellStart"/>
      <w:r>
        <w:rPr>
          <w:i/>
          <w:lang w:val="it-IT"/>
        </w:rPr>
        <w:t>ius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exigendi</w:t>
      </w:r>
      <w:proofErr w:type="spellEnd"/>
      <w:r>
        <w:rPr>
          <w:lang w:val="it-IT"/>
        </w:rPr>
        <w:t xml:space="preserve"> della Chiesa enunciato nel can. 1260 comporta la potestà di imporre tributi ai fedeli e alle persone giuridiche; tuttavia, il CIC non ha mantenuto nessun tributo ordinario per le persone fisiche — come erano, per es., le antiche </w:t>
      </w:r>
      <w:r>
        <w:rPr>
          <w:i/>
          <w:lang w:val="it-IT"/>
        </w:rPr>
        <w:t xml:space="preserve">decime e le regalie sopra le decime </w:t>
      </w:r>
      <w:r>
        <w:rPr>
          <w:lang w:val="it-IT"/>
        </w:rPr>
        <w:t xml:space="preserve">—, sebbene non sia </w:t>
      </w:r>
      <w:proofErr w:type="spellStart"/>
      <w:r>
        <w:rPr>
          <w:lang w:val="it-IT"/>
        </w:rPr>
        <w:t>escusa</w:t>
      </w:r>
      <w:proofErr w:type="spellEnd"/>
      <w:r>
        <w:rPr>
          <w:lang w:val="it-IT"/>
        </w:rPr>
        <w:t xml:space="preserve"> la possibilità di ricorrere a tale soluzione, in caso di necessità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1263). Il legislatore ha preferito appellarsi alla responsabilità generosa dei fedeli, in relazione alla quale il Vescovo diocesano è tenuto ad ammonire i fedeli nel modo opportuno, qualora ve ne sia urgenza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1261 § 2). Pertanto, l’aiuto dei fedeli avverrà ordinariamente sotto forma di </w:t>
      </w:r>
      <w:r>
        <w:rPr>
          <w:i/>
          <w:lang w:val="it-IT"/>
        </w:rPr>
        <w:t>contributi e offerte volontarie</w:t>
      </w:r>
      <w:r>
        <w:rPr>
          <w:lang w:val="it-IT"/>
        </w:rPr>
        <w:t>.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>b)</w:t>
      </w:r>
      <w:r>
        <w:rPr>
          <w:lang w:val="it-IT"/>
        </w:rPr>
        <w:t xml:space="preserve"> Contributi volontari dei fedeli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Le oblazioni o i contributi </w:t>
      </w:r>
      <w:r>
        <w:rPr>
          <w:i/>
          <w:lang w:val="it-IT"/>
        </w:rPr>
        <w:t>volontari</w:t>
      </w:r>
      <w:r>
        <w:rPr>
          <w:lang w:val="it-IT"/>
        </w:rPr>
        <w:t xml:space="preserve"> — </w:t>
      </w:r>
      <w:proofErr w:type="spellStart"/>
      <w:r>
        <w:rPr>
          <w:lang w:val="it-IT"/>
        </w:rPr>
        <w:t>cioé</w:t>
      </w:r>
      <w:proofErr w:type="spellEnd"/>
      <w:r>
        <w:rPr>
          <w:lang w:val="it-IT"/>
        </w:rPr>
        <w:t xml:space="preserve">, che non costituiscono adempimento di un determinato obbligo giuridico — possono essere </w:t>
      </w:r>
      <w:r>
        <w:rPr>
          <w:i/>
          <w:lang w:val="it-IT"/>
        </w:rPr>
        <w:t>spontanei</w:t>
      </w:r>
      <w:r>
        <w:rPr>
          <w:lang w:val="it-IT"/>
        </w:rPr>
        <w:t xml:space="preserve"> o </w:t>
      </w:r>
      <w:r>
        <w:rPr>
          <w:i/>
          <w:lang w:val="it-IT"/>
        </w:rPr>
        <w:t>sollecitati</w:t>
      </w:r>
      <w:r>
        <w:rPr>
          <w:lang w:val="it-IT"/>
        </w:rPr>
        <w:t xml:space="preserve"> dalla Chiesa. Il can. 1262 esorta i fedeli a prestare aiuto quando sono loro richieste sovvenzioni per le necessità della Chiesa, conformemente alle norme stabilite dalla conferenza episcopale.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Una delle forme — sebbene non l’unica — attraverso cui si richiede tale collaborazione economica è costituita dalle </w:t>
      </w:r>
      <w:r>
        <w:rPr>
          <w:i/>
          <w:lang w:val="it-IT"/>
        </w:rPr>
        <w:t>collette</w:t>
      </w:r>
      <w:r>
        <w:rPr>
          <w:lang w:val="it-IT"/>
        </w:rPr>
        <w:t xml:space="preserve"> che si fanno ordinariamente nelle chiese per il sostentamento del culto e le opere di carità e apostolato.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 xml:space="preserve">Oltre alle collette e ai contributi ordinari, l’Ordinario del luogo può stabilire che si facciano in tutte le chiese e oratori abitualmente aperti ai fedeli — sebbene appartengano ad istituti religiosi — alcune collette </w:t>
      </w:r>
      <w:r>
        <w:rPr>
          <w:i/>
          <w:lang w:val="it-IT"/>
        </w:rPr>
        <w:t>speciali</w:t>
      </w:r>
      <w:r>
        <w:rPr>
          <w:lang w:val="it-IT"/>
        </w:rPr>
        <w:t xml:space="preserve"> per determinate opere diocesane (per. es., il seminario: 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264 § 1), parrocchiali, nazionali o universali (</w:t>
      </w:r>
      <w:proofErr w:type="spellStart"/>
      <w:proofErr w:type="gramStart"/>
      <w:r>
        <w:rPr>
          <w:lang w:val="it-IT"/>
        </w:rPr>
        <w:t>cf</w:t>
      </w:r>
      <w:proofErr w:type="spellEnd"/>
      <w:r>
        <w:rPr>
          <w:lang w:val="it-IT"/>
        </w:rPr>
        <w:t>.,</w:t>
      </w:r>
      <w:proofErr w:type="gramEnd"/>
      <w:r>
        <w:rPr>
          <w:lang w:val="it-IT"/>
        </w:rPr>
        <w:t xml:space="preserve"> per es., can. </w:t>
      </w:r>
      <w:proofErr w:type="gramStart"/>
      <w:r>
        <w:rPr>
          <w:lang w:val="it-IT"/>
        </w:rPr>
        <w:t>791,3.º</w:t>
      </w:r>
      <w:proofErr w:type="gramEnd"/>
      <w:r>
        <w:rPr>
          <w:lang w:val="it-IT"/>
        </w:rPr>
        <w:t>). Tali collette non rimangono alle chiese o oratori, ma vengono inviate direttamente alla curia diocesana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1266).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Il can. 1265, relativo alle </w:t>
      </w:r>
      <w:r>
        <w:rPr>
          <w:i/>
          <w:lang w:val="it-IT"/>
        </w:rPr>
        <w:t>questue</w:t>
      </w:r>
      <w:r>
        <w:rPr>
          <w:lang w:val="it-IT"/>
        </w:rPr>
        <w:t>, vieta che persone private, fisiche o giuridiche, chiedano le elemosine per istituzioni o finalità pie senza licenza scritta dell’Ordinario del luogo.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>Tale divieto esclude il Diritto dei religiosi mendicanti di chiedere l’elemosina, ma la conferenza episcopale può dare norme sulla questua delle elemosine che devono essere da tutti osservate, compresi i mendicanti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1265 § 2).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Le offerte devolute dai fedeli </w:t>
      </w:r>
      <w:r>
        <w:rPr>
          <w:i/>
          <w:lang w:val="it-IT"/>
        </w:rPr>
        <w:t>spontaneamente</w:t>
      </w:r>
      <w:r>
        <w:rPr>
          <w:lang w:val="it-IT"/>
        </w:rPr>
        <w:t xml:space="preserve"> ai superiori o amministratori di qualsiasi persona giuridica (</w:t>
      </w:r>
      <w:r>
        <w:rPr>
          <w:i/>
          <w:lang w:val="it-IT"/>
        </w:rPr>
        <w:t>vedi infra</w:t>
      </w:r>
      <w:r>
        <w:rPr>
          <w:lang w:val="it-IT"/>
        </w:rPr>
        <w:t>: 4, c) si presumono fatte alla stessa persona giuridica, non a chi materialmente le riceve, e normalmente devono essere accettate. Se sono devolute per un fine determinato, una volta accettate, non possono essere destinate ad un altro fine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1267 §§ 1 e 3).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 xml:space="preserve">Per rifiutare legittimamente un’offerta volontaria è necessaria una </w:t>
      </w:r>
      <w:r>
        <w:rPr>
          <w:i/>
          <w:lang w:val="it-IT"/>
        </w:rPr>
        <w:t>giusta</w:t>
      </w:r>
      <w:r>
        <w:rPr>
          <w:lang w:val="it-IT"/>
        </w:rPr>
        <w:t xml:space="preserve"> </w:t>
      </w:r>
      <w:r>
        <w:rPr>
          <w:i/>
          <w:lang w:val="it-IT"/>
        </w:rPr>
        <w:t>causa</w:t>
      </w:r>
      <w:r>
        <w:rPr>
          <w:lang w:val="it-IT"/>
        </w:rPr>
        <w:t>. Le persone giuridiche pubbliche necessitano, inoltre, della licenza dell’Ordinario del luogo, sia per rifiutare una donazione importante, che per accettare una donazione che comporta incarichi o condizioni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1267 § 2; </w:t>
      </w:r>
      <w:r>
        <w:rPr>
          <w:i/>
          <w:lang w:val="it-IT"/>
        </w:rPr>
        <w:t>vedi infra</w:t>
      </w:r>
      <w:r>
        <w:rPr>
          <w:lang w:val="it-IT"/>
        </w:rPr>
        <w:t>: 6).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 xml:space="preserve">c) </w:t>
      </w:r>
      <w:r>
        <w:rPr>
          <w:lang w:val="it-IT"/>
        </w:rPr>
        <w:t>Tasse e offerte in occasione di sacramenti e sacramentali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Il can. 1264 distingue fra le tasse e le offerte provenienti dai fedeli in occasione di certe celebrazioni.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lastRenderedPageBreak/>
        <w:t xml:space="preserve">Le </w:t>
      </w:r>
      <w:r>
        <w:rPr>
          <w:i/>
          <w:lang w:val="it-IT"/>
        </w:rPr>
        <w:t>tasse</w:t>
      </w:r>
      <w:r>
        <w:rPr>
          <w:lang w:val="it-IT"/>
        </w:rPr>
        <w:t xml:space="preserve"> sono stabilite per determinati atti di </w:t>
      </w:r>
      <w:r>
        <w:rPr>
          <w:i/>
          <w:lang w:val="it-IT"/>
        </w:rPr>
        <w:t>potestà esecutiva</w:t>
      </w:r>
      <w:r>
        <w:rPr>
          <w:lang w:val="it-IT"/>
        </w:rPr>
        <w:t xml:space="preserve"> (per atti di grazia ed altri equiparati: licenze, certificati, ecc.; e per l’esecuzione di rescritti della Sede Apostolica); o per atti della </w:t>
      </w:r>
      <w:r>
        <w:rPr>
          <w:i/>
          <w:lang w:val="it-IT"/>
        </w:rPr>
        <w:t>potestà giudiziale</w:t>
      </w:r>
      <w:r>
        <w:rPr>
          <w:lang w:val="it-IT"/>
        </w:rPr>
        <w:t xml:space="preserve"> (</w:t>
      </w:r>
      <w:proofErr w:type="spellStart"/>
      <w:proofErr w:type="gramStart"/>
      <w:r>
        <w:rPr>
          <w:lang w:val="it-IT"/>
        </w:rPr>
        <w:t>cf</w:t>
      </w:r>
      <w:proofErr w:type="spellEnd"/>
      <w:r>
        <w:rPr>
          <w:lang w:val="it-IT"/>
        </w:rPr>
        <w:t>.,</w:t>
      </w:r>
      <w:proofErr w:type="gramEnd"/>
      <w:r>
        <w:rPr>
          <w:lang w:val="it-IT"/>
        </w:rPr>
        <w:t xml:space="preserve"> per es. can. 1649). La loro natura è </w:t>
      </w:r>
      <w:r>
        <w:rPr>
          <w:i/>
          <w:lang w:val="it-IT"/>
        </w:rPr>
        <w:t>retributiva</w:t>
      </w:r>
      <w:r>
        <w:rPr>
          <w:lang w:val="it-IT"/>
        </w:rPr>
        <w:t>: sono controprestazioni del servizio prestato dall’organizzazione ecclesiastica.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Le </w:t>
      </w:r>
      <w:r>
        <w:rPr>
          <w:i/>
          <w:lang w:val="it-IT"/>
        </w:rPr>
        <w:t>offerte</w:t>
      </w:r>
      <w:r>
        <w:rPr>
          <w:lang w:val="it-IT"/>
        </w:rPr>
        <w:t xml:space="preserve"> date</w:t>
      </w:r>
      <w:r>
        <w:rPr>
          <w:i/>
          <w:lang w:val="it-IT"/>
        </w:rPr>
        <w:t xml:space="preserve"> in occasione </w:t>
      </w:r>
      <w:r>
        <w:rPr>
          <w:lang w:val="it-IT"/>
        </w:rPr>
        <w:t xml:space="preserve">della celebrazione di sacramenti e sacramentali non sono tasse, né hanno carattere di </w:t>
      </w:r>
      <w:r>
        <w:rPr>
          <w:i/>
          <w:lang w:val="it-IT"/>
        </w:rPr>
        <w:t>corrispettivo</w:t>
      </w:r>
      <w:r>
        <w:rPr>
          <w:lang w:val="it-IT"/>
        </w:rPr>
        <w:t xml:space="preserve"> dei sacramenti (sarebbe </w:t>
      </w:r>
      <w:r>
        <w:rPr>
          <w:i/>
          <w:lang w:val="it-IT"/>
        </w:rPr>
        <w:t>simonia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 xml:space="preserve">. 1380); esse sono oblazioni, fatte in una determinata occasione, con le quali i fedeli — secondo il can. 946, che fa riferimento agli </w:t>
      </w:r>
      <w:r>
        <w:rPr>
          <w:i/>
          <w:lang w:val="it-IT"/>
        </w:rPr>
        <w:t>stipendi delle messe</w:t>
      </w:r>
      <w:r>
        <w:rPr>
          <w:lang w:val="it-IT"/>
        </w:rPr>
        <w:t xml:space="preserve"> (</w:t>
      </w:r>
      <w:r>
        <w:rPr>
          <w:i/>
          <w:lang w:val="it-IT"/>
        </w:rPr>
        <w:t>vedi</w:t>
      </w:r>
      <w:r>
        <w:rPr>
          <w:lang w:val="it-IT"/>
        </w:rPr>
        <w:t xml:space="preserve"> XXVI, 3, d) — contribuiscono al bene della Chiesa e partecipano della sua sollecitudine per sostenere i ministri e le loro attività.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>La Chiesa cerca di evitare attentamente anche la sola apparenza di interesse economico nell’amministrazione dei mezzi di salvezza; pertanto, tra le altre cose, insiste sul fatto che nessun fedele si veda discriminato o rimanga privo di tali celebrazioni per motivi economici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per</w:t>
      </w:r>
      <w:proofErr w:type="gramEnd"/>
      <w:r>
        <w:rPr>
          <w:lang w:val="it-IT"/>
        </w:rPr>
        <w:t xml:space="preserve"> es., can. 947 e 945 </w:t>
      </w:r>
      <w:r>
        <w:rPr>
          <w:rFonts w:ascii="Times New Roman" w:hAnsi="Times New Roman"/>
          <w:lang w:val="it-IT"/>
        </w:rPr>
        <w:t>§</w:t>
      </w:r>
      <w:r>
        <w:rPr>
          <w:lang w:val="it-IT"/>
        </w:rPr>
        <w:t xml:space="preserve"> 2, sugli stipendi delle messe; can. 1181, sulle offerte funebri).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La riunione dei Vescovi della provincia ecclesiastica (</w:t>
      </w:r>
      <w:r>
        <w:rPr>
          <w:i/>
          <w:lang w:val="it-IT"/>
        </w:rPr>
        <w:t>vedi</w:t>
      </w:r>
      <w:r>
        <w:rPr>
          <w:lang w:val="it-IT"/>
        </w:rPr>
        <w:t xml:space="preserve"> XIX, 2) deve stabilire, dall’inizio, le tasse — con approvazione della Sede Apostolica — e le offerte menzionate, perché vi sia uniformità in tutte le diocesi della provincia.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>d)</w:t>
      </w:r>
      <w:r>
        <w:rPr>
          <w:lang w:val="it-IT"/>
        </w:rPr>
        <w:t xml:space="preserve"> Tributi ecclesiastici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 xml:space="preserve">Precisando la disposizione generale del can. 1260, il can. 1263 riconosce e regola la </w:t>
      </w:r>
      <w:r>
        <w:rPr>
          <w:i/>
          <w:lang w:val="it-IT"/>
        </w:rPr>
        <w:t>potestà impositiva</w:t>
      </w:r>
      <w:r>
        <w:rPr>
          <w:lang w:val="it-IT"/>
        </w:rPr>
        <w:t xml:space="preserve"> del Vescovo diocesano nell’ambito della sua giurisdizione, prevedendo la possibilità che questo imponga, ordinariamente, un contributo</w:t>
      </w:r>
      <w:r>
        <w:rPr>
          <w:i/>
          <w:lang w:val="it-IT"/>
        </w:rPr>
        <w:t xml:space="preserve"> non eccessivo e proporzionato ai redditi </w:t>
      </w:r>
      <w:r>
        <w:rPr>
          <w:lang w:val="it-IT"/>
        </w:rPr>
        <w:t>delle persone giuridiche pubbliche soggette alla sua giurisdizione, dopo aver udito il consiglio degli affari economici e il consiglio presbiterale.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Unicamente per grave necessità e in via straordinaria — salvo che le leggi e le consuetudini particolari prevedano diritti più ampi—, il Vescovo diocesano potrebbe imporre anche un contributo non eccessivo alle altre persone giuridiche (sia private che pubbliche, non soggette alla sua giurisdizione) e ai singoli fedeli.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>Il CIC regola in altro luogo il tributo a favore del seminario (</w:t>
      </w:r>
      <w:r>
        <w:rPr>
          <w:i/>
          <w:lang w:val="it-IT"/>
        </w:rPr>
        <w:t>seminaristico</w:t>
      </w:r>
      <w:r>
        <w:rPr>
          <w:lang w:val="it-IT"/>
        </w:rPr>
        <w:t>), che può essere imposto ordinariamente anche a persone giuridiche private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264).</w:t>
      </w:r>
    </w:p>
    <w:p w:rsidR="00B57408" w:rsidRDefault="00B57408" w:rsidP="00B57408">
      <w:pPr>
        <w:pStyle w:val="MDCLadilloa"/>
        <w:rPr>
          <w:lang w:val="it-IT"/>
        </w:rPr>
      </w:pPr>
      <w:r>
        <w:rPr>
          <w:i w:val="0"/>
          <w:lang w:val="it-IT"/>
        </w:rPr>
        <w:t>e)</w:t>
      </w:r>
      <w:r>
        <w:rPr>
          <w:lang w:val="it-IT"/>
        </w:rPr>
        <w:t xml:space="preserve"> Corresponsabilità della diocesi e della Sede Apostolica</w:t>
      </w:r>
    </w:p>
    <w:p w:rsidR="00B57408" w:rsidRDefault="00B57408" w:rsidP="00B57408">
      <w:pPr>
        <w:pStyle w:val="MDCtexto"/>
        <w:spacing w:line="240" w:lineRule="auto"/>
        <w:rPr>
          <w:lang w:val="it-IT"/>
        </w:rPr>
      </w:pPr>
      <w:r>
        <w:rPr>
          <w:lang w:val="it-IT"/>
        </w:rPr>
        <w:t>La Sede Apostolica ha bisogno del contributo di tutte le Chiese per ottenere i mezzi necessari al suo servizio universale. Il CIC non stabilisce un contributo determinato per tale scopo, ma si limita a ricordare ai vescovi diocesani il loro dovere di contribuire a procurare i mezzi economici alla Santa Sede, secondo le possibilità delle loro diocesi, in ragione del vincolo di carità e di unità (</w:t>
      </w:r>
      <w:proofErr w:type="spellStart"/>
      <w:r>
        <w:rPr>
          <w:lang w:val="it-IT"/>
        </w:rPr>
        <w:t>cf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can</w:t>
      </w:r>
      <w:proofErr w:type="gramEnd"/>
      <w:r>
        <w:rPr>
          <w:lang w:val="it-IT"/>
        </w:rPr>
        <w:t>. 1271).</w:t>
      </w:r>
    </w:p>
    <w:p w:rsidR="00B57408" w:rsidRDefault="00B57408" w:rsidP="00B57408">
      <w:pPr>
        <w:pStyle w:val="MDCTextopequea"/>
        <w:spacing w:line="240" w:lineRule="auto"/>
        <w:rPr>
          <w:lang w:val="it-IT"/>
        </w:rPr>
      </w:pPr>
      <w:r>
        <w:rPr>
          <w:lang w:val="it-IT"/>
        </w:rPr>
        <w:t>La tradizione dell’"obolo di San Pietro", che è una colletta annuale per le necessità della Sede Apostolica, costituisce una delle modalità usuali di tale contributo; ma possono esserci anche altre collette ordinarie per determinate finalità, e contributi straordinari, spontanei o sollecitati dalla Santa Sede, per circostanze o necessità speciali.</w:t>
      </w:r>
    </w:p>
    <w:p w:rsidR="00753FB6" w:rsidRDefault="00753FB6"/>
    <w:sectPr w:rsidR="00753FB6" w:rsidSect="005A3EE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08"/>
    <w:rsid w:val="001121D6"/>
    <w:rsid w:val="005A3EE7"/>
    <w:rsid w:val="00614CE8"/>
    <w:rsid w:val="00753FB6"/>
    <w:rsid w:val="009D170D"/>
    <w:rsid w:val="00B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034F-9C6A-4CDF-9B43-BBC80949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iCs/>
        <w:sz w:val="24"/>
        <w:szCs w:val="24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Ctexto">
    <w:name w:val="MDCtexto"/>
    <w:basedOn w:val="Normale"/>
    <w:rsid w:val="00B57408"/>
    <w:pPr>
      <w:spacing w:after="60" w:line="260" w:lineRule="exact"/>
      <w:ind w:firstLine="425"/>
      <w:jc w:val="both"/>
    </w:pPr>
    <w:rPr>
      <w:rFonts w:ascii="Book Antiqua" w:eastAsia="Times New Roman" w:hAnsi="Book Antiqua" w:cs="Times New Roman"/>
      <w:iCs w:val="0"/>
      <w:sz w:val="22"/>
      <w:szCs w:val="20"/>
      <w:lang w:val="es-ES" w:eastAsia="it-IT"/>
    </w:rPr>
  </w:style>
  <w:style w:type="paragraph" w:customStyle="1" w:styleId="MDCLadillo1">
    <w:name w:val="MDCLadillo 1"/>
    <w:basedOn w:val="MDCtexto"/>
    <w:next w:val="MDCtexto"/>
    <w:rsid w:val="00B57408"/>
    <w:pPr>
      <w:keepNext/>
      <w:spacing w:before="200" w:after="160" w:line="240" w:lineRule="auto"/>
      <w:ind w:left="198" w:hanging="198"/>
      <w:jc w:val="left"/>
    </w:pPr>
    <w:rPr>
      <w:i/>
    </w:rPr>
  </w:style>
  <w:style w:type="paragraph" w:customStyle="1" w:styleId="MDCTextopequea">
    <w:name w:val="MDCTextopequeña"/>
    <w:basedOn w:val="MDCtexto"/>
    <w:next w:val="MDCtexto"/>
    <w:rsid w:val="00B57408"/>
    <w:pPr>
      <w:spacing w:before="60" w:after="120" w:line="220" w:lineRule="exact"/>
      <w:ind w:left="170" w:firstLine="284"/>
    </w:pPr>
    <w:rPr>
      <w:sz w:val="18"/>
    </w:rPr>
  </w:style>
  <w:style w:type="paragraph" w:customStyle="1" w:styleId="MDCLadilloa">
    <w:name w:val="MDCLadillo a"/>
    <w:basedOn w:val="MDCLadillo1"/>
    <w:next w:val="MDCtexto"/>
    <w:rsid w:val="00B57408"/>
    <w:pPr>
      <w:spacing w:before="160" w:after="120"/>
      <w:ind w:left="623"/>
    </w:pPr>
  </w:style>
  <w:style w:type="paragraph" w:customStyle="1" w:styleId="MDCTitulo">
    <w:name w:val="MDCTitulo"/>
    <w:basedOn w:val="Titolo1"/>
    <w:next w:val="MDCtexto"/>
    <w:rsid w:val="00B57408"/>
    <w:pPr>
      <w:keepLines w:val="0"/>
      <w:spacing w:before="120" w:after="2000" w:line="320" w:lineRule="exact"/>
      <w:ind w:firstLine="0"/>
      <w:jc w:val="center"/>
    </w:pPr>
    <w:rPr>
      <w:rFonts w:ascii="Book Antiqua" w:eastAsia="Times New Roman" w:hAnsi="Book Antiqua" w:cs="Times New Roman"/>
      <w:iCs w:val="0"/>
      <w:caps/>
      <w:color w:val="auto"/>
      <w:kern w:val="28"/>
      <w:sz w:val="26"/>
      <w:szCs w:val="20"/>
      <w:lang w:val="es-ES_tradnl" w:eastAsia="it-IT"/>
    </w:rPr>
  </w:style>
  <w:style w:type="paragraph" w:customStyle="1" w:styleId="MDCCapitulo">
    <w:name w:val="MDCCapitulo"/>
    <w:basedOn w:val="Normale"/>
    <w:next w:val="MDCTitulo"/>
    <w:rsid w:val="00B57408"/>
    <w:pPr>
      <w:ind w:left="709" w:hanging="709"/>
      <w:jc w:val="center"/>
    </w:pPr>
    <w:rPr>
      <w:rFonts w:ascii="Book Antiqua" w:eastAsia="Times New Roman" w:hAnsi="Book Antiqua" w:cs="Times New Roman"/>
      <w:iCs w:val="0"/>
      <w:smallCaps/>
      <w:sz w:val="23"/>
      <w:szCs w:val="20"/>
      <w:lang w:val="es-ES_tradnl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7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Puig</dc:creator>
  <cp:keywords/>
  <dc:description/>
  <cp:lastModifiedBy>Fernando Puig</cp:lastModifiedBy>
  <cp:revision>1</cp:revision>
  <dcterms:created xsi:type="dcterms:W3CDTF">2023-04-20T07:18:00Z</dcterms:created>
  <dcterms:modified xsi:type="dcterms:W3CDTF">2023-04-20T07:20:00Z</dcterms:modified>
</cp:coreProperties>
</file>